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91965" w14:textId="02A8CEC3" w:rsidR="00A44503" w:rsidRPr="00BE4704" w:rsidRDefault="00A44503" w:rsidP="00A44503">
      <w:pPr>
        <w:pStyle w:val="NormaaliWWW"/>
        <w:spacing w:before="0" w:beforeAutospacing="0" w:after="0" w:afterAutospacing="0"/>
        <w:jc w:val="center"/>
        <w:textAlignment w:val="baseline"/>
        <w:rPr>
          <w:rFonts w:eastAsia="MS PGothic"/>
          <w:b/>
          <w:bCs/>
          <w:color w:val="0000FF"/>
          <w:kern w:val="24"/>
        </w:rPr>
      </w:pPr>
    </w:p>
    <w:p w14:paraId="52DFF714" w14:textId="77777777" w:rsidR="00A44503" w:rsidRPr="00994DFD" w:rsidRDefault="00A44503" w:rsidP="00A44503">
      <w:pPr>
        <w:pStyle w:val="NormaaliWWW"/>
        <w:spacing w:before="0" w:beforeAutospacing="0" w:after="0" w:afterAutospacing="0"/>
        <w:jc w:val="right"/>
        <w:textAlignment w:val="baseline"/>
        <w:rPr>
          <w:rFonts w:eastAsia="MS PGothic" w:cs="Times New Roman"/>
          <w:color w:val="000000" w:themeColor="text1"/>
          <w:kern w:val="24"/>
          <w:sz w:val="20"/>
          <w:szCs w:val="20"/>
        </w:rPr>
      </w:pPr>
    </w:p>
    <w:p w14:paraId="7516ADBA" w14:textId="77777777" w:rsidR="00A44503" w:rsidRDefault="00A44503" w:rsidP="00A44503">
      <w:pPr>
        <w:pStyle w:val="NormaaliWWW"/>
        <w:spacing w:before="0" w:beforeAutospacing="0" w:after="0" w:afterAutospacing="0"/>
        <w:textAlignment w:val="baseline"/>
        <w:rPr>
          <w:rFonts w:eastAsia="MS PGothic" w:cs="Times New Roman"/>
          <w:color w:val="000000" w:themeColor="text1"/>
          <w:kern w:val="24"/>
          <w:sz w:val="28"/>
          <w:szCs w:val="28"/>
        </w:rPr>
      </w:pPr>
    </w:p>
    <w:p w14:paraId="0213B541" w14:textId="77777777" w:rsidR="00A44503" w:rsidRPr="00EA21C7" w:rsidRDefault="00A44503" w:rsidP="00A44503">
      <w:pPr>
        <w:pStyle w:val="NormaaliWWW"/>
        <w:spacing w:before="0" w:beforeAutospacing="0" w:after="0" w:afterAutospacing="0"/>
        <w:textAlignment w:val="baseline"/>
        <w:rPr>
          <w:rFonts w:asciiTheme="minorHAnsi" w:eastAsia="MS PGothic" w:hAnsiTheme="minorHAnsi" w:cstheme="minorHAnsi"/>
          <w:color w:val="000000" w:themeColor="text1"/>
          <w:kern w:val="24"/>
          <w:sz w:val="28"/>
          <w:szCs w:val="28"/>
        </w:rPr>
      </w:pPr>
    </w:p>
    <w:p w14:paraId="491D3BAE" w14:textId="77777777" w:rsidR="00A44503" w:rsidRPr="00EA21C7" w:rsidRDefault="00A44503" w:rsidP="00A44503">
      <w:pPr>
        <w:pStyle w:val="NormaaliWWW"/>
        <w:spacing w:before="0" w:beforeAutospacing="0" w:after="0" w:afterAutospacing="0"/>
        <w:textAlignment w:val="baseline"/>
        <w:rPr>
          <w:rFonts w:asciiTheme="minorHAnsi" w:eastAsia="MS PGothic" w:hAnsiTheme="minorHAnsi" w:cstheme="minorHAnsi"/>
          <w:color w:val="000000" w:themeColor="text1"/>
          <w:kern w:val="24"/>
          <w:sz w:val="28"/>
          <w:szCs w:val="28"/>
        </w:rPr>
      </w:pPr>
    </w:p>
    <w:p w14:paraId="01875D7B" w14:textId="77777777" w:rsidR="00A44503" w:rsidRPr="00EA21C7" w:rsidRDefault="00A44503" w:rsidP="00A44503">
      <w:pPr>
        <w:pStyle w:val="NormaaliWWW"/>
        <w:spacing w:before="0" w:beforeAutospacing="0" w:after="0" w:afterAutospacing="0"/>
        <w:textAlignment w:val="baseline"/>
        <w:rPr>
          <w:rFonts w:asciiTheme="minorHAnsi" w:eastAsia="MS PGothic" w:hAnsiTheme="minorHAnsi" w:cstheme="minorHAnsi"/>
          <w:color w:val="000000" w:themeColor="text1"/>
          <w:kern w:val="24"/>
          <w:sz w:val="28"/>
          <w:szCs w:val="28"/>
        </w:rPr>
      </w:pPr>
    </w:p>
    <w:p w14:paraId="4119E4F1" w14:textId="77777777" w:rsidR="00A44503" w:rsidRPr="00EA21C7" w:rsidRDefault="00A44503" w:rsidP="00A44503">
      <w:pPr>
        <w:pStyle w:val="NormaaliWWW"/>
        <w:spacing w:before="0" w:beforeAutospacing="0" w:after="0" w:afterAutospacing="0"/>
        <w:jc w:val="center"/>
        <w:textAlignment w:val="baseline"/>
        <w:rPr>
          <w:rFonts w:asciiTheme="minorHAnsi" w:eastAsia="MS PGothic" w:hAnsiTheme="minorHAnsi" w:cstheme="minorHAnsi"/>
          <w:bCs/>
          <w:color w:val="000000" w:themeColor="text1"/>
          <w:kern w:val="24"/>
          <w:sz w:val="40"/>
          <w:szCs w:val="40"/>
        </w:rPr>
      </w:pPr>
      <w:r w:rsidRPr="00EA21C7">
        <w:rPr>
          <w:rFonts w:asciiTheme="minorHAnsi" w:eastAsia="MS PGothic" w:hAnsiTheme="minorHAnsi" w:cstheme="minorHAnsi"/>
          <w:color w:val="000000" w:themeColor="text1"/>
          <w:kern w:val="24"/>
          <w:sz w:val="40"/>
          <w:szCs w:val="40"/>
        </w:rPr>
        <w:t>Palveluvalikoimaneuvoston suositus</w:t>
      </w:r>
    </w:p>
    <w:p w14:paraId="1970C04E" w14:textId="77777777" w:rsidR="00A44503" w:rsidRPr="00EA21C7" w:rsidRDefault="00A44503" w:rsidP="00A44503">
      <w:pPr>
        <w:pStyle w:val="NormaaliWWW"/>
        <w:spacing w:before="0" w:beforeAutospacing="0" w:after="0" w:afterAutospacing="0"/>
        <w:textAlignment w:val="baseline"/>
        <w:rPr>
          <w:rFonts w:asciiTheme="minorHAnsi" w:eastAsia="MS PGothic" w:hAnsiTheme="minorHAnsi" w:cstheme="minorHAnsi"/>
          <w:b/>
          <w:color w:val="000000" w:themeColor="text1"/>
          <w:kern w:val="24"/>
          <w:sz w:val="32"/>
          <w:szCs w:val="28"/>
        </w:rPr>
      </w:pPr>
    </w:p>
    <w:p w14:paraId="158E2B9B" w14:textId="464D32D9" w:rsidR="00A44503" w:rsidRPr="00EA21C7" w:rsidRDefault="004C28DB" w:rsidP="00534E69">
      <w:pPr>
        <w:pStyle w:val="Default"/>
        <w:jc w:val="center"/>
        <w:rPr>
          <w:rFonts w:asciiTheme="minorHAnsi" w:hAnsiTheme="minorHAnsi" w:cstheme="minorHAnsi"/>
        </w:rPr>
      </w:pPr>
      <w:r w:rsidRPr="00EA21C7">
        <w:rPr>
          <w:rFonts w:asciiTheme="minorHAnsi" w:hAnsiTheme="minorHAnsi" w:cstheme="minorHAnsi"/>
          <w:b/>
          <w:bCs/>
          <w:sz w:val="44"/>
          <w:szCs w:val="44"/>
        </w:rPr>
        <w:t>Semiplimabi</w:t>
      </w:r>
      <w:r w:rsidR="00534E69" w:rsidRPr="00EA21C7">
        <w:rPr>
          <w:rFonts w:asciiTheme="minorHAnsi" w:hAnsiTheme="minorHAnsi" w:cstheme="minorHAnsi"/>
          <w:b/>
          <w:bCs/>
          <w:sz w:val="44"/>
          <w:szCs w:val="44"/>
        </w:rPr>
        <w:t xml:space="preserve"> (</w:t>
      </w:r>
      <w:r w:rsidRPr="00EA21C7">
        <w:rPr>
          <w:rFonts w:asciiTheme="minorHAnsi" w:hAnsiTheme="minorHAnsi" w:cstheme="minorHAnsi"/>
          <w:b/>
          <w:bCs/>
          <w:sz w:val="44"/>
          <w:szCs w:val="44"/>
        </w:rPr>
        <w:t>Libtayo</w:t>
      </w:r>
      <w:r w:rsidR="00534E69" w:rsidRPr="00EA21C7">
        <w:rPr>
          <w:rFonts w:asciiTheme="minorHAnsi" w:hAnsiTheme="minorHAnsi" w:cstheme="minorHAnsi"/>
          <w:b/>
          <w:bCs/>
          <w:sz w:val="44"/>
          <w:szCs w:val="44"/>
        </w:rPr>
        <w:t xml:space="preserve">) </w:t>
      </w:r>
      <w:r w:rsidRPr="00EA21C7">
        <w:rPr>
          <w:rFonts w:asciiTheme="minorHAnsi" w:hAnsiTheme="minorHAnsi" w:cstheme="minorHAnsi"/>
          <w:b/>
          <w:bCs/>
          <w:sz w:val="44"/>
          <w:szCs w:val="44"/>
        </w:rPr>
        <w:t>edenneen ihon okasolusyövän hoidossa</w:t>
      </w:r>
    </w:p>
    <w:p w14:paraId="0A2BA6CA" w14:textId="77777777" w:rsidR="00A44503" w:rsidRPr="00EA21C7" w:rsidRDefault="00A44503" w:rsidP="00A44503">
      <w:pPr>
        <w:pStyle w:val="NormaaliWWW"/>
        <w:spacing w:before="0" w:beforeAutospacing="0" w:after="0" w:afterAutospacing="0"/>
        <w:jc w:val="center"/>
        <w:textAlignment w:val="baseline"/>
        <w:rPr>
          <w:rFonts w:asciiTheme="minorHAnsi" w:eastAsia="MS PGothic" w:hAnsiTheme="minorHAnsi" w:cstheme="minorHAnsi"/>
          <w:b/>
          <w:color w:val="000000" w:themeColor="text1"/>
          <w:kern w:val="24"/>
          <w:sz w:val="44"/>
          <w:szCs w:val="40"/>
        </w:rPr>
      </w:pPr>
    </w:p>
    <w:p w14:paraId="47AA3FD1" w14:textId="77777777" w:rsidR="00A44503" w:rsidRPr="00EA21C7" w:rsidRDefault="00A44503" w:rsidP="00A44503">
      <w:pPr>
        <w:pStyle w:val="NormaaliWWW"/>
        <w:spacing w:before="0" w:beforeAutospacing="0" w:after="0" w:afterAutospacing="0"/>
        <w:jc w:val="center"/>
        <w:textAlignment w:val="baseline"/>
        <w:rPr>
          <w:rFonts w:asciiTheme="minorHAnsi" w:eastAsia="MS PGothic" w:hAnsiTheme="minorHAnsi" w:cstheme="minorHAnsi"/>
          <w:b/>
          <w:color w:val="000000" w:themeColor="text1"/>
          <w:kern w:val="24"/>
          <w:sz w:val="44"/>
          <w:szCs w:val="40"/>
        </w:rPr>
      </w:pPr>
    </w:p>
    <w:p w14:paraId="695F03C0" w14:textId="38135674" w:rsidR="00A44503" w:rsidRPr="00EA21C7" w:rsidRDefault="00981155" w:rsidP="00A44503">
      <w:pPr>
        <w:pStyle w:val="NormaaliWWW"/>
        <w:spacing w:before="0" w:beforeAutospacing="0" w:after="0" w:afterAutospacing="0"/>
        <w:textAlignment w:val="baseline"/>
        <w:rPr>
          <w:rFonts w:asciiTheme="minorHAnsi" w:eastAsia="MS PGothic" w:hAnsiTheme="minorHAnsi" w:cstheme="minorHAnsi"/>
          <w:b/>
          <w:color w:val="000000" w:themeColor="text1"/>
          <w:kern w:val="24"/>
          <w:sz w:val="28"/>
          <w:szCs w:val="28"/>
        </w:rPr>
      </w:pPr>
      <w:r w:rsidRPr="00EA21C7">
        <w:rPr>
          <w:rFonts w:eastAsia="MS PGothic" w:cstheme="minorHAnsi"/>
          <w:b/>
          <w:noProof/>
          <w:color w:val="000000" w:themeColor="text1"/>
          <w:kern w:val="24"/>
          <w:sz w:val="44"/>
          <w:szCs w:val="40"/>
        </w:rPr>
        <mc:AlternateContent>
          <mc:Choice Requires="wps">
            <w:drawing>
              <wp:anchor distT="0" distB="0" distL="114300" distR="114300" simplePos="0" relativeHeight="251659264" behindDoc="0" locked="0" layoutInCell="1" allowOverlap="1" wp14:anchorId="1C032E5B" wp14:editId="7A35000D">
                <wp:simplePos x="0" y="0"/>
                <wp:positionH relativeFrom="column">
                  <wp:posOffset>-66040</wp:posOffset>
                </wp:positionH>
                <wp:positionV relativeFrom="paragraph">
                  <wp:posOffset>90805</wp:posOffset>
                </wp:positionV>
                <wp:extent cx="6201410" cy="3625850"/>
                <wp:effectExtent l="19050" t="19050" r="27940" b="12700"/>
                <wp:wrapNone/>
                <wp:docPr id="2" name="Tekstiruutu 2"/>
                <wp:cNvGraphicFramePr/>
                <a:graphic xmlns:a="http://schemas.openxmlformats.org/drawingml/2006/main">
                  <a:graphicData uri="http://schemas.microsoft.com/office/word/2010/wordprocessingShape">
                    <wps:wsp>
                      <wps:cNvSpPr txBox="1"/>
                      <wps:spPr>
                        <a:xfrm>
                          <a:off x="0" y="0"/>
                          <a:ext cx="6201410" cy="3625850"/>
                        </a:xfrm>
                        <a:prstGeom prst="rect">
                          <a:avLst/>
                        </a:prstGeom>
                        <a:solidFill>
                          <a:schemeClr val="lt1"/>
                        </a:solidFill>
                        <a:ln w="28575">
                          <a:solidFill>
                            <a:prstClr val="black"/>
                          </a:solidFill>
                        </a:ln>
                      </wps:spPr>
                      <wps:txbx>
                        <w:txbxContent>
                          <w:p w14:paraId="63EF0221" w14:textId="77777777" w:rsidR="00453A3E" w:rsidRPr="00892D3D" w:rsidRDefault="000E58B2" w:rsidP="00453A3E">
                            <w:pPr>
                              <w:rPr>
                                <w:rFonts w:cstheme="minorHAnsi"/>
                                <w:sz w:val="28"/>
                                <w:szCs w:val="28"/>
                              </w:rPr>
                            </w:pPr>
                            <w:r w:rsidRPr="00453A3E" w:rsidDel="000E58B2">
                              <w:rPr>
                                <w:rFonts w:cstheme="minorHAnsi"/>
                                <w:sz w:val="28"/>
                                <w:szCs w:val="28"/>
                                <w:lang w:eastAsia="fi-FI"/>
                              </w:rPr>
                              <w:t xml:space="preserve"> </w:t>
                            </w:r>
                            <w:r w:rsidR="00453A3E" w:rsidRPr="00892D3D">
                              <w:rPr>
                                <w:rFonts w:cstheme="minorHAnsi"/>
                                <w:sz w:val="28"/>
                                <w:szCs w:val="28"/>
                                <w:lang w:eastAsia="fi-FI"/>
                              </w:rPr>
                              <w:t>Semiplimabi ei kuulu kansalliseen palveluvalikoimaan paikallisesti edenneen tai etäpesäkkeisen ihon okasolusyövän hoidossa.</w:t>
                            </w:r>
                          </w:p>
                          <w:p w14:paraId="6331A2D3" w14:textId="77777777" w:rsidR="00453A3E" w:rsidRPr="00892D3D" w:rsidRDefault="00453A3E" w:rsidP="00453A3E">
                            <w:pPr>
                              <w:rPr>
                                <w:rFonts w:cstheme="minorHAnsi"/>
                                <w:sz w:val="28"/>
                                <w:szCs w:val="28"/>
                              </w:rPr>
                            </w:pPr>
                            <w:r w:rsidRPr="00892D3D">
                              <w:rPr>
                                <w:rFonts w:cstheme="minorHAnsi"/>
                                <w:sz w:val="28"/>
                                <w:szCs w:val="28"/>
                              </w:rPr>
                              <w:t xml:space="preserve">Semiplimabin vaikuttavuuden arviointi on toistaiseksi vaikeaa, koska tutkimustuloksiin liittyy poikkeuksellisen paljon epävarmuutta. Semiplimabi-hoitoa ei ole verrattu toiseen hoitoon ja tutkimusten seuranta-aika on vielä lyhyt. Semiplimabilla todettiin jonkin verran hoitovastetta ja sillä saattaa olla vaikutusta potilaiden taudin etenemiseen. Ei voida päätellä, johtaako saavutettu hoitovaste lopulta elinajan pidentymiseen. </w:t>
                            </w:r>
                          </w:p>
                          <w:p w14:paraId="024055A4" w14:textId="77777777" w:rsidR="00453A3E" w:rsidRPr="00892D3D" w:rsidRDefault="00453A3E" w:rsidP="00453A3E">
                            <w:pPr>
                              <w:rPr>
                                <w:sz w:val="28"/>
                                <w:szCs w:val="28"/>
                              </w:rPr>
                            </w:pPr>
                            <w:r w:rsidRPr="00892D3D">
                              <w:rPr>
                                <w:rFonts w:cstheme="minorHAnsi"/>
                                <w:sz w:val="28"/>
                                <w:szCs w:val="28"/>
                              </w:rPr>
                              <w:t>Tarvitaan lisää tutkimustietoa, ennen kuin voidaan tehdä päätelmiä semiplimabin vaikuttavuudesta ja hoidon kohdentamisesta siitä mahdollisesti hyötyville. Euroopan lääkevirasto EMA on myöntänyt valmisteelle ehdollisen myyntiluvan. Epävarmuustekijöistä johtuen myöskään Fimea ei ole esittänyt arviota semiplimabin kustannusvaikuttavuudesta.</w:t>
                            </w:r>
                          </w:p>
                          <w:p w14:paraId="0AD1B271" w14:textId="57BCCE5D" w:rsidR="00E21C21" w:rsidRPr="00534E69" w:rsidRDefault="00E21C21" w:rsidP="00453A3E">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32E5B" id="_x0000_t202" coordsize="21600,21600" o:spt="202" path="m,l,21600r21600,l21600,xe">
                <v:stroke joinstyle="miter"/>
                <v:path gradientshapeok="t" o:connecttype="rect"/>
              </v:shapetype>
              <v:shape id="Tekstiruutu 2" o:spid="_x0000_s1026" type="#_x0000_t202" style="position:absolute;margin-left:-5.2pt;margin-top:7.15pt;width:488.3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aIUAIAAKYEAAAOAAAAZHJzL2Uyb0RvYy54bWysVE1PGzEQvVfqf7B8L5ukCaQRG5SCqCoh&#10;QIKKs+P1Eguvx7W92aW/vs/OBwntqerFO19+nnkzs+cXfWPYWvmgyZZ8eDLgTFlJlbbPJf/xeP1p&#10;ylmIwlbCkFUlf1WBX8w/fjjv3EyNaEWmUp4BxIZZ50q+itHNiiLIlWpEOCGnLJw1+UZEqP65qLzo&#10;gN6YYjQYnBYd+cp5kioEWK82Tj7P+HWtZLyr66AiMyVHbjGfPp/LdBbzczF79sKttNymIf4hi0Zo&#10;i0f3UFciCtZ6/QdUo6WnQHU8kdQUVNdaqlwDqhkO3lXzsBJO5VpATnB7msL/g5W363vPdFXyEWdW&#10;NGjRo3oJUfu2jS0bJYI6F2aIe3CIjP1X6tHonT3AmOrua9+kLypi8IPq1z29qo9MwniKEsdDuCR8&#10;n09Hk+kkN6B4u+58iN8UNSwJJffoX6ZVrG9CRCoI3YWk1wIZXV1rY7KSZkZdGs/WAt02MSeJG0dR&#10;xrIOxU4nZ5OMfORM2HuApRHyJdV5DAHNWBgTK5vqkxT7Zb+laknVK5jytBm24OS1Bu6NCPFeeEwX&#10;GMDGxDsctSFkQ1uJsxX5X3+zp3g0HV7OOkxrycPPVnjFmfluMQ5fhuNxGu+sjCdnIyj+0LM89Ni2&#10;uSRQNMRuOpnFFB/NTqw9NU9YrEV6FS5hJd4uedyJl3GzQ1hMqRaLHISBdiLe2AcnE3RqSeLzsX8S&#10;3m0bGjELt7SbazF719dNbLppadFGqnVueiJ4w+qWdyxDbst2cdO2Heo56u33Mv8NAAD//wMAUEsD&#10;BBQABgAIAAAAIQC6yXRz3wAAAAoBAAAPAAAAZHJzL2Rvd25yZXYueG1sTI/LTsMwEEX3SPyDNUjs&#10;WqevqA1xKkA8diBKoVsndmMLexzFThv+nmEFy9E9uvdMuR29YyfdRxtQwGyaAdPYBGWxFbB/f5ys&#10;gcUkUUkXUAv41hG21eVFKQsVzvimT7vUMirBWEgBJqWu4Dw2RnsZp6HTSNkx9F4mOvuWq16eqdw7&#10;Ps+ynHtpkRaM7PS90c3XbvACPp7vjDsc/VAfHj4df1V2fHqxQlxfjbc3wJIe0x8Mv/qkDhU51WFA&#10;FZkTMJllS0IpWC6AEbDJ8zmwWsBqvVoAr0r+/4XqBwAA//8DAFBLAQItABQABgAIAAAAIQC2gziS&#10;/gAAAOEBAAATAAAAAAAAAAAAAAAAAAAAAABbQ29udGVudF9UeXBlc10ueG1sUEsBAi0AFAAGAAgA&#10;AAAhADj9If/WAAAAlAEAAAsAAAAAAAAAAAAAAAAALwEAAF9yZWxzLy5yZWxzUEsBAi0AFAAGAAgA&#10;AAAhAMA05ohQAgAApgQAAA4AAAAAAAAAAAAAAAAALgIAAGRycy9lMm9Eb2MueG1sUEsBAi0AFAAG&#10;AAgAAAAhALrJdHPfAAAACgEAAA8AAAAAAAAAAAAAAAAAqgQAAGRycy9kb3ducmV2LnhtbFBLBQYA&#10;AAAABAAEAPMAAAC2BQAAAAA=&#10;" fillcolor="white [3201]" strokeweight="2.25pt">
                <v:textbox>
                  <w:txbxContent>
                    <w:p w14:paraId="63EF0221" w14:textId="77777777" w:rsidR="00453A3E" w:rsidRPr="00892D3D" w:rsidRDefault="000E58B2" w:rsidP="00453A3E">
                      <w:pPr>
                        <w:rPr>
                          <w:rFonts w:cstheme="minorHAnsi"/>
                          <w:sz w:val="28"/>
                          <w:szCs w:val="28"/>
                        </w:rPr>
                      </w:pPr>
                      <w:r w:rsidRPr="00453A3E" w:rsidDel="000E58B2">
                        <w:rPr>
                          <w:rFonts w:cstheme="minorHAnsi"/>
                          <w:sz w:val="28"/>
                          <w:szCs w:val="28"/>
                          <w:lang w:eastAsia="fi-FI"/>
                        </w:rPr>
                        <w:t xml:space="preserve"> </w:t>
                      </w:r>
                      <w:r w:rsidR="00453A3E" w:rsidRPr="00892D3D">
                        <w:rPr>
                          <w:rFonts w:cstheme="minorHAnsi"/>
                          <w:sz w:val="28"/>
                          <w:szCs w:val="28"/>
                          <w:lang w:eastAsia="fi-FI"/>
                        </w:rPr>
                        <w:t>Semiplimabi ei kuulu kansalliseen palveluvalikoimaan paikallisesti edenneen tai etäpesäkkeisen ihon okasolusyövän hoidossa.</w:t>
                      </w:r>
                    </w:p>
                    <w:p w14:paraId="6331A2D3" w14:textId="77777777" w:rsidR="00453A3E" w:rsidRPr="00892D3D" w:rsidRDefault="00453A3E" w:rsidP="00453A3E">
                      <w:pPr>
                        <w:rPr>
                          <w:rFonts w:cstheme="minorHAnsi"/>
                          <w:sz w:val="28"/>
                          <w:szCs w:val="28"/>
                        </w:rPr>
                      </w:pPr>
                      <w:r w:rsidRPr="00892D3D">
                        <w:rPr>
                          <w:rFonts w:cstheme="minorHAnsi"/>
                          <w:sz w:val="28"/>
                          <w:szCs w:val="28"/>
                        </w:rPr>
                        <w:t xml:space="preserve">Semiplimabin vaikuttavuuden arviointi on toistaiseksi vaikeaa, koska tutkimustuloksiin liittyy poikkeuksellisen paljon epävarmuutta. Semiplimabi-hoitoa ei ole verrattu toiseen hoitoon ja tutkimusten seuranta-aika on vielä lyhyt. Semiplimabilla todettiin jonkin verran hoitovastetta ja sillä saattaa olla vaikutusta potilaiden taudin etenemiseen. Ei voida päätellä, johtaako saavutettu hoitovaste lopulta elinajan pidentymiseen. </w:t>
                      </w:r>
                    </w:p>
                    <w:p w14:paraId="024055A4" w14:textId="77777777" w:rsidR="00453A3E" w:rsidRPr="00892D3D" w:rsidRDefault="00453A3E" w:rsidP="00453A3E">
                      <w:pPr>
                        <w:rPr>
                          <w:sz w:val="28"/>
                          <w:szCs w:val="28"/>
                        </w:rPr>
                      </w:pPr>
                      <w:r w:rsidRPr="00892D3D">
                        <w:rPr>
                          <w:rFonts w:cstheme="minorHAnsi"/>
                          <w:sz w:val="28"/>
                          <w:szCs w:val="28"/>
                        </w:rPr>
                        <w:t>Tarvitaan lisää tutkimustietoa, ennen kuin voidaan tehdä päätelmiä semiplimabin vaikuttavuudesta ja hoidon kohdentamisesta siitä mahdollisesti hyötyville. Euroopan lääkevirasto EMA on myöntänyt valmisteelle ehdollisen myyntiluvan. Epävarmuustekijöistä johtuen myöskään Fimea ei ole esittänyt arviota semiplimabin kustannusvaikuttavuudesta.</w:t>
                      </w:r>
                    </w:p>
                    <w:p w14:paraId="0AD1B271" w14:textId="57BCCE5D" w:rsidR="00E21C21" w:rsidRPr="00534E69" w:rsidRDefault="00E21C21" w:rsidP="00453A3E">
                      <w:pPr>
                        <w:rPr>
                          <w:sz w:val="28"/>
                          <w:szCs w:val="28"/>
                        </w:rPr>
                      </w:pPr>
                    </w:p>
                  </w:txbxContent>
                </v:textbox>
              </v:shape>
            </w:pict>
          </mc:Fallback>
        </mc:AlternateContent>
      </w:r>
    </w:p>
    <w:p w14:paraId="7D1FB9E2" w14:textId="7DC63605" w:rsidR="00A44503" w:rsidRPr="00EA21C7" w:rsidRDefault="00A44503" w:rsidP="00A44503">
      <w:pPr>
        <w:jc w:val="center"/>
        <w:rPr>
          <w:rFonts w:cstheme="minorHAnsi"/>
          <w:sz w:val="28"/>
          <w:szCs w:val="28"/>
        </w:rPr>
      </w:pPr>
    </w:p>
    <w:p w14:paraId="452B0AD6" w14:textId="77777777" w:rsidR="00A44503" w:rsidRPr="00EA21C7" w:rsidRDefault="00A44503" w:rsidP="00A44503">
      <w:pPr>
        <w:jc w:val="center"/>
        <w:rPr>
          <w:rFonts w:eastAsia="MS PGothic" w:cstheme="minorHAnsi"/>
          <w:sz w:val="28"/>
          <w:szCs w:val="28"/>
        </w:rPr>
      </w:pPr>
    </w:p>
    <w:p w14:paraId="1F4B97C6" w14:textId="77777777" w:rsidR="00A44503" w:rsidRPr="00EA21C7" w:rsidRDefault="00A44503" w:rsidP="00A44503">
      <w:pPr>
        <w:rPr>
          <w:rFonts w:eastAsia="MS PGothic" w:cstheme="minorHAnsi"/>
        </w:rPr>
      </w:pPr>
    </w:p>
    <w:p w14:paraId="320A4D37" w14:textId="77777777" w:rsidR="00A44503" w:rsidRPr="00EA21C7" w:rsidRDefault="00A44503" w:rsidP="00A44503">
      <w:pPr>
        <w:rPr>
          <w:rFonts w:eastAsia="MS PGothic" w:cstheme="minorHAnsi"/>
        </w:rPr>
      </w:pPr>
    </w:p>
    <w:p w14:paraId="5040F8FE" w14:textId="77777777" w:rsidR="00A44503" w:rsidRPr="00EA21C7" w:rsidRDefault="00A44503" w:rsidP="00A44503">
      <w:pPr>
        <w:rPr>
          <w:rFonts w:eastAsia="MS PGothic" w:cstheme="minorHAnsi"/>
        </w:rPr>
      </w:pPr>
    </w:p>
    <w:p w14:paraId="679D0316" w14:textId="77777777" w:rsidR="00A44503" w:rsidRPr="00EA21C7" w:rsidRDefault="00A44503" w:rsidP="00A44503">
      <w:pPr>
        <w:rPr>
          <w:rFonts w:eastAsia="MS PGothic" w:cstheme="minorHAnsi"/>
        </w:rPr>
      </w:pPr>
    </w:p>
    <w:p w14:paraId="0D8C4287" w14:textId="77777777" w:rsidR="00A44503" w:rsidRPr="00EA21C7" w:rsidRDefault="00A44503" w:rsidP="00A44503">
      <w:pPr>
        <w:rPr>
          <w:rFonts w:eastAsia="MS PGothic" w:cstheme="minorHAnsi"/>
        </w:rPr>
      </w:pPr>
    </w:p>
    <w:p w14:paraId="58E0FF39" w14:textId="77777777" w:rsidR="00A44503" w:rsidRPr="00EA21C7" w:rsidRDefault="00A44503" w:rsidP="00A44503">
      <w:pPr>
        <w:rPr>
          <w:rFonts w:eastAsia="MS PGothic" w:cstheme="minorHAnsi"/>
        </w:rPr>
      </w:pPr>
      <w:r w:rsidRPr="00EA21C7">
        <w:rPr>
          <w:rFonts w:eastAsia="MS PGothic" w:cstheme="minorHAnsi"/>
        </w:rPr>
        <w:br w:type="page"/>
      </w:r>
    </w:p>
    <w:p w14:paraId="4AAC00CD" w14:textId="77777777" w:rsidR="00A44503" w:rsidRPr="00EA21C7" w:rsidRDefault="00A44503" w:rsidP="00A44503">
      <w:pPr>
        <w:rPr>
          <w:rFonts w:eastAsia="MS PGothic" w:cstheme="minorHAnsi"/>
        </w:rPr>
      </w:pPr>
    </w:p>
    <w:sdt>
      <w:sdtPr>
        <w:rPr>
          <w:rFonts w:asciiTheme="minorHAnsi" w:eastAsiaTheme="minorHAnsi" w:hAnsiTheme="minorHAnsi" w:cstheme="minorHAnsi"/>
          <w:color w:val="auto"/>
          <w:sz w:val="24"/>
          <w:szCs w:val="22"/>
          <w:lang w:eastAsia="en-US"/>
        </w:rPr>
        <w:id w:val="-539587374"/>
        <w:docPartObj>
          <w:docPartGallery w:val="Table of Contents"/>
          <w:docPartUnique/>
        </w:docPartObj>
      </w:sdtPr>
      <w:sdtEndPr>
        <w:rPr>
          <w:b/>
          <w:bCs/>
          <w:sz w:val="22"/>
        </w:rPr>
      </w:sdtEndPr>
      <w:sdtContent>
        <w:p w14:paraId="43A7A32C" w14:textId="77777777" w:rsidR="00A44503" w:rsidRPr="00EA21C7" w:rsidRDefault="00A44503" w:rsidP="00A44503">
          <w:pPr>
            <w:pStyle w:val="Sisllysluettelonotsikko"/>
            <w:rPr>
              <w:rFonts w:asciiTheme="minorHAnsi" w:hAnsiTheme="minorHAnsi" w:cstheme="minorHAnsi"/>
            </w:rPr>
          </w:pPr>
          <w:r w:rsidRPr="00EA21C7">
            <w:rPr>
              <w:rFonts w:asciiTheme="minorHAnsi" w:hAnsiTheme="minorHAnsi" w:cstheme="minorHAnsi"/>
            </w:rPr>
            <w:t>Sisällys</w:t>
          </w:r>
        </w:p>
        <w:p w14:paraId="112B9BA4" w14:textId="77777777" w:rsidR="00A44503" w:rsidRPr="00EA21C7" w:rsidRDefault="00A44503" w:rsidP="00A44503">
          <w:pPr>
            <w:rPr>
              <w:rFonts w:cstheme="minorHAnsi"/>
            </w:rPr>
          </w:pPr>
        </w:p>
        <w:p w14:paraId="54E0FEA3" w14:textId="7350D41B" w:rsidR="00342AE4" w:rsidRPr="00EA21C7" w:rsidRDefault="00A44503">
          <w:pPr>
            <w:pStyle w:val="Sisluet2"/>
            <w:rPr>
              <w:rFonts w:asciiTheme="minorHAnsi" w:eastAsiaTheme="minorEastAsia" w:hAnsiTheme="minorHAnsi" w:cstheme="minorHAnsi"/>
              <w:noProof/>
              <w:sz w:val="22"/>
              <w:szCs w:val="22"/>
            </w:rPr>
          </w:pPr>
          <w:r w:rsidRPr="00EA21C7">
            <w:rPr>
              <w:rFonts w:asciiTheme="minorHAnsi" w:hAnsiTheme="minorHAnsi" w:cstheme="minorHAnsi"/>
            </w:rPr>
            <w:fldChar w:fldCharType="begin"/>
          </w:r>
          <w:r w:rsidRPr="00EA21C7">
            <w:rPr>
              <w:rFonts w:asciiTheme="minorHAnsi" w:hAnsiTheme="minorHAnsi" w:cstheme="minorHAnsi"/>
            </w:rPr>
            <w:instrText xml:space="preserve"> TOC \o "1-3" \h \z \u </w:instrText>
          </w:r>
          <w:r w:rsidRPr="00EA21C7">
            <w:rPr>
              <w:rFonts w:asciiTheme="minorHAnsi" w:hAnsiTheme="minorHAnsi" w:cstheme="minorHAnsi"/>
            </w:rPr>
            <w:fldChar w:fldCharType="separate"/>
          </w:r>
          <w:hyperlink w:anchor="_Toc15543595" w:history="1">
            <w:r w:rsidR="00342AE4" w:rsidRPr="00EA21C7">
              <w:rPr>
                <w:rStyle w:val="Hyperlinkki"/>
                <w:rFonts w:asciiTheme="minorHAnsi" w:hAnsiTheme="minorHAnsi" w:cstheme="minorHAnsi"/>
                <w:noProof/>
              </w:rPr>
              <w:t>1.</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Perusteet suosituksen laatimiseen</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_Toc15543595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1</w:t>
            </w:r>
            <w:r w:rsidR="00342AE4" w:rsidRPr="00EA21C7">
              <w:rPr>
                <w:rFonts w:asciiTheme="minorHAnsi" w:hAnsiTheme="minorHAnsi" w:cstheme="minorHAnsi"/>
                <w:noProof/>
                <w:webHidden/>
              </w:rPr>
              <w:fldChar w:fldCharType="end"/>
            </w:r>
          </w:hyperlink>
        </w:p>
        <w:p w14:paraId="5695A2C8" w14:textId="58B3CF6C" w:rsidR="00342AE4" w:rsidRPr="00EA21C7" w:rsidRDefault="00CC6FBD">
          <w:pPr>
            <w:pStyle w:val="Sisluet2"/>
            <w:rPr>
              <w:rFonts w:asciiTheme="minorHAnsi" w:eastAsiaTheme="minorEastAsia" w:hAnsiTheme="minorHAnsi" w:cstheme="minorHAnsi"/>
              <w:noProof/>
              <w:sz w:val="22"/>
              <w:szCs w:val="22"/>
            </w:rPr>
          </w:pPr>
          <w:hyperlink w:anchor="_Toc15543596" w:history="1">
            <w:r w:rsidR="00342AE4" w:rsidRPr="00EA21C7">
              <w:rPr>
                <w:rStyle w:val="Hyperlinkki"/>
                <w:rFonts w:asciiTheme="minorHAnsi" w:hAnsiTheme="minorHAnsi" w:cstheme="minorHAnsi"/>
                <w:noProof/>
              </w:rPr>
              <w:t>2.</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Suosituksen kohderyhmä</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_Toc15543596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1</w:t>
            </w:r>
            <w:r w:rsidR="00342AE4" w:rsidRPr="00EA21C7">
              <w:rPr>
                <w:rFonts w:asciiTheme="minorHAnsi" w:hAnsiTheme="minorHAnsi" w:cstheme="minorHAnsi"/>
                <w:noProof/>
                <w:webHidden/>
              </w:rPr>
              <w:fldChar w:fldCharType="end"/>
            </w:r>
          </w:hyperlink>
        </w:p>
        <w:p w14:paraId="4592BE41" w14:textId="1C1A5DBF" w:rsidR="00342AE4" w:rsidRPr="00EA21C7" w:rsidRDefault="00CC6FBD">
          <w:pPr>
            <w:pStyle w:val="Sisluet2"/>
            <w:rPr>
              <w:rFonts w:asciiTheme="minorHAnsi" w:eastAsiaTheme="minorEastAsia" w:hAnsiTheme="minorHAnsi" w:cstheme="minorHAnsi"/>
              <w:noProof/>
              <w:sz w:val="22"/>
              <w:szCs w:val="22"/>
            </w:rPr>
          </w:pPr>
          <w:hyperlink w:anchor="_Toc15543597" w:history="1">
            <w:r w:rsidR="00342AE4" w:rsidRPr="00EA21C7">
              <w:rPr>
                <w:rStyle w:val="Hyperlinkki"/>
                <w:rFonts w:asciiTheme="minorHAnsi" w:hAnsiTheme="minorHAnsi" w:cstheme="minorHAnsi"/>
                <w:noProof/>
              </w:rPr>
              <w:t>3.</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Arvioitava menetelmä</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_Toc15543597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1</w:t>
            </w:r>
            <w:r w:rsidR="00342AE4" w:rsidRPr="00EA21C7">
              <w:rPr>
                <w:rFonts w:asciiTheme="minorHAnsi" w:hAnsiTheme="minorHAnsi" w:cstheme="minorHAnsi"/>
                <w:noProof/>
                <w:webHidden/>
              </w:rPr>
              <w:fldChar w:fldCharType="end"/>
            </w:r>
          </w:hyperlink>
        </w:p>
        <w:p w14:paraId="29999729" w14:textId="07CF66E8" w:rsidR="00342AE4" w:rsidRPr="00EA21C7" w:rsidRDefault="00CC6FBD">
          <w:pPr>
            <w:pStyle w:val="Sisluet2"/>
            <w:rPr>
              <w:rFonts w:asciiTheme="minorHAnsi" w:eastAsiaTheme="minorEastAsia" w:hAnsiTheme="minorHAnsi" w:cstheme="minorHAnsi"/>
              <w:noProof/>
              <w:sz w:val="22"/>
              <w:szCs w:val="22"/>
            </w:rPr>
          </w:pPr>
          <w:hyperlink w:anchor="_Toc15543598" w:history="1">
            <w:r w:rsidR="00342AE4" w:rsidRPr="00EA21C7">
              <w:rPr>
                <w:rStyle w:val="Hyperlinkki"/>
                <w:rFonts w:asciiTheme="minorHAnsi" w:hAnsiTheme="minorHAnsi" w:cstheme="minorHAnsi"/>
                <w:noProof/>
              </w:rPr>
              <w:t>4.</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Nykykäytäntö ja tutkimuksessa käytetty vaihtoehto</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_Toc15543598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1</w:t>
            </w:r>
            <w:r w:rsidR="00342AE4" w:rsidRPr="00EA21C7">
              <w:rPr>
                <w:rFonts w:asciiTheme="minorHAnsi" w:hAnsiTheme="minorHAnsi" w:cstheme="minorHAnsi"/>
                <w:noProof/>
                <w:webHidden/>
              </w:rPr>
              <w:fldChar w:fldCharType="end"/>
            </w:r>
          </w:hyperlink>
        </w:p>
        <w:p w14:paraId="0448C7AE" w14:textId="6142B4A1" w:rsidR="00342AE4" w:rsidRPr="00EA21C7" w:rsidRDefault="00CC6FBD">
          <w:pPr>
            <w:pStyle w:val="Sisluet2"/>
            <w:rPr>
              <w:rFonts w:asciiTheme="minorHAnsi" w:eastAsiaTheme="minorEastAsia" w:hAnsiTheme="minorHAnsi" w:cstheme="minorHAnsi"/>
              <w:noProof/>
              <w:sz w:val="22"/>
              <w:szCs w:val="22"/>
            </w:rPr>
          </w:pPr>
          <w:hyperlink w:anchor="_Toc15543599" w:history="1">
            <w:r w:rsidR="00342AE4" w:rsidRPr="00EA21C7">
              <w:rPr>
                <w:rStyle w:val="Hyperlinkki"/>
                <w:rFonts w:asciiTheme="minorHAnsi" w:hAnsiTheme="minorHAnsi" w:cstheme="minorHAnsi"/>
                <w:noProof/>
              </w:rPr>
              <w:t>5.</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Vaikuttavuus ja turvallisuus sekä niihin liittyvät epävarmuustekijät</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_Toc15543599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2</w:t>
            </w:r>
            <w:r w:rsidR="00342AE4" w:rsidRPr="00EA21C7">
              <w:rPr>
                <w:rFonts w:asciiTheme="minorHAnsi" w:hAnsiTheme="minorHAnsi" w:cstheme="minorHAnsi"/>
                <w:noProof/>
                <w:webHidden/>
              </w:rPr>
              <w:fldChar w:fldCharType="end"/>
            </w:r>
          </w:hyperlink>
        </w:p>
        <w:p w14:paraId="77211222" w14:textId="720DCD9B" w:rsidR="00342AE4" w:rsidRPr="00EA21C7" w:rsidRDefault="00CC6FBD">
          <w:pPr>
            <w:pStyle w:val="Sisluet2"/>
            <w:rPr>
              <w:rFonts w:asciiTheme="minorHAnsi" w:eastAsiaTheme="minorEastAsia" w:hAnsiTheme="minorHAnsi" w:cstheme="minorHAnsi"/>
              <w:noProof/>
              <w:sz w:val="22"/>
              <w:szCs w:val="22"/>
            </w:rPr>
          </w:pPr>
          <w:hyperlink w:anchor="_Toc15543600" w:history="1">
            <w:r w:rsidR="00342AE4" w:rsidRPr="00EA21C7">
              <w:rPr>
                <w:rStyle w:val="Hyperlinkki"/>
                <w:rFonts w:asciiTheme="minorHAnsi" w:hAnsiTheme="minorHAnsi" w:cstheme="minorHAnsi"/>
                <w:noProof/>
              </w:rPr>
              <w:t>6.</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Intervention kustannukset, kustannusvaikuttavuus ja budjettivaikutukset</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_Toc15543600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4</w:t>
            </w:r>
            <w:r w:rsidR="00342AE4" w:rsidRPr="00EA21C7">
              <w:rPr>
                <w:rFonts w:asciiTheme="minorHAnsi" w:hAnsiTheme="minorHAnsi" w:cstheme="minorHAnsi"/>
                <w:noProof/>
                <w:webHidden/>
              </w:rPr>
              <w:fldChar w:fldCharType="end"/>
            </w:r>
          </w:hyperlink>
        </w:p>
        <w:p w14:paraId="4AC19DD5" w14:textId="6CF0ED8E" w:rsidR="00342AE4" w:rsidRPr="00EA21C7" w:rsidRDefault="00CC6FBD">
          <w:pPr>
            <w:pStyle w:val="Sisluet2"/>
            <w:rPr>
              <w:rFonts w:asciiTheme="minorHAnsi" w:eastAsiaTheme="minorEastAsia" w:hAnsiTheme="minorHAnsi" w:cstheme="minorHAnsi"/>
              <w:noProof/>
              <w:sz w:val="22"/>
              <w:szCs w:val="22"/>
            </w:rPr>
          </w:pPr>
          <w:hyperlink w:anchor="_Toc15543601" w:history="1">
            <w:r w:rsidR="00342AE4" w:rsidRPr="00EA21C7">
              <w:rPr>
                <w:rStyle w:val="Hyperlinkki"/>
                <w:rFonts w:asciiTheme="minorHAnsi" w:hAnsiTheme="minorHAnsi" w:cstheme="minorHAnsi"/>
                <w:noProof/>
              </w:rPr>
              <w:t>7.</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Johtopäätökset</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_Toc15543601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4</w:t>
            </w:r>
            <w:r w:rsidR="00342AE4" w:rsidRPr="00EA21C7">
              <w:rPr>
                <w:rFonts w:asciiTheme="minorHAnsi" w:hAnsiTheme="minorHAnsi" w:cstheme="minorHAnsi"/>
                <w:noProof/>
                <w:webHidden/>
              </w:rPr>
              <w:fldChar w:fldCharType="end"/>
            </w:r>
          </w:hyperlink>
        </w:p>
        <w:p w14:paraId="00D0DB69" w14:textId="455DB8F5" w:rsidR="00342AE4" w:rsidRPr="00EA21C7" w:rsidRDefault="00CC6FBD">
          <w:pPr>
            <w:pStyle w:val="Sisluet2"/>
            <w:rPr>
              <w:rFonts w:asciiTheme="minorHAnsi" w:eastAsiaTheme="minorEastAsia" w:hAnsiTheme="minorHAnsi" w:cstheme="minorHAnsi"/>
              <w:noProof/>
              <w:sz w:val="22"/>
              <w:szCs w:val="22"/>
            </w:rPr>
          </w:pPr>
          <w:hyperlink w:anchor="_Toc15543602" w:history="1">
            <w:r w:rsidR="00342AE4" w:rsidRPr="00EA21C7">
              <w:rPr>
                <w:rStyle w:val="Hyperlinkki"/>
                <w:rFonts w:asciiTheme="minorHAnsi" w:hAnsiTheme="minorHAnsi" w:cstheme="minorHAnsi"/>
                <w:noProof/>
              </w:rPr>
              <w:t>8.</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Palkon suosituslause</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_Toc15543602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5</w:t>
            </w:r>
            <w:r w:rsidR="00342AE4" w:rsidRPr="00EA21C7">
              <w:rPr>
                <w:rFonts w:asciiTheme="minorHAnsi" w:hAnsiTheme="minorHAnsi" w:cstheme="minorHAnsi"/>
                <w:noProof/>
                <w:webHidden/>
              </w:rPr>
              <w:fldChar w:fldCharType="end"/>
            </w:r>
          </w:hyperlink>
        </w:p>
        <w:p w14:paraId="677DF541" w14:textId="493ADE46" w:rsidR="00342AE4" w:rsidRPr="00EA21C7" w:rsidRDefault="00CC6FBD">
          <w:pPr>
            <w:pStyle w:val="Sisluet2"/>
            <w:rPr>
              <w:rFonts w:asciiTheme="minorHAnsi" w:eastAsiaTheme="minorEastAsia" w:hAnsiTheme="minorHAnsi" w:cstheme="minorHAnsi"/>
              <w:noProof/>
              <w:sz w:val="22"/>
              <w:szCs w:val="22"/>
            </w:rPr>
          </w:pPr>
          <w:hyperlink w:anchor="_Toc15543603" w:history="1">
            <w:r w:rsidR="00342AE4" w:rsidRPr="00EA21C7">
              <w:rPr>
                <w:rStyle w:val="Hyperlinkki"/>
                <w:rFonts w:asciiTheme="minorHAnsi" w:hAnsiTheme="minorHAnsi" w:cstheme="minorHAnsi"/>
                <w:noProof/>
              </w:rPr>
              <w:t>9.</w:t>
            </w:r>
            <w:r w:rsidR="00342AE4" w:rsidRPr="00EA21C7">
              <w:rPr>
                <w:rFonts w:asciiTheme="minorHAnsi" w:eastAsiaTheme="minorEastAsia" w:hAnsiTheme="minorHAnsi" w:cstheme="minorHAnsi"/>
                <w:noProof/>
                <w:sz w:val="22"/>
                <w:szCs w:val="22"/>
              </w:rPr>
              <w:tab/>
            </w:r>
            <w:r w:rsidR="00342AE4" w:rsidRPr="00EA21C7">
              <w:rPr>
                <w:rStyle w:val="Hyperlinkki"/>
                <w:rFonts w:asciiTheme="minorHAnsi" w:hAnsiTheme="minorHAnsi" w:cstheme="minorHAnsi"/>
                <w:noProof/>
              </w:rPr>
              <w:t>Lisänäytön kerääminen ja suositusten vaikutusten seuranta</w:t>
            </w:r>
            <w:r w:rsidR="00342AE4" w:rsidRPr="00EA21C7">
              <w:rPr>
                <w:rFonts w:asciiTheme="minorHAnsi" w:hAnsiTheme="minorHAnsi" w:cstheme="minorHAnsi"/>
                <w:noProof/>
                <w:webHidden/>
              </w:rPr>
              <w:tab/>
            </w:r>
            <w:r w:rsidR="00342AE4" w:rsidRPr="00EA21C7">
              <w:rPr>
                <w:rFonts w:asciiTheme="minorHAnsi" w:hAnsiTheme="minorHAnsi" w:cstheme="minorHAnsi"/>
                <w:noProof/>
                <w:webHidden/>
              </w:rPr>
              <w:fldChar w:fldCharType="begin"/>
            </w:r>
            <w:r w:rsidR="00342AE4" w:rsidRPr="00EA21C7">
              <w:rPr>
                <w:rFonts w:asciiTheme="minorHAnsi" w:hAnsiTheme="minorHAnsi" w:cstheme="minorHAnsi"/>
                <w:noProof/>
                <w:webHidden/>
              </w:rPr>
              <w:instrText xml:space="preserve"> PAGEREF _Toc15543603 \h </w:instrText>
            </w:r>
            <w:r w:rsidR="00342AE4" w:rsidRPr="00EA21C7">
              <w:rPr>
                <w:rFonts w:asciiTheme="minorHAnsi" w:hAnsiTheme="minorHAnsi" w:cstheme="minorHAnsi"/>
                <w:noProof/>
                <w:webHidden/>
              </w:rPr>
            </w:r>
            <w:r w:rsidR="00342AE4" w:rsidRPr="00EA21C7">
              <w:rPr>
                <w:rFonts w:asciiTheme="minorHAnsi" w:hAnsiTheme="minorHAnsi" w:cstheme="minorHAnsi"/>
                <w:noProof/>
                <w:webHidden/>
              </w:rPr>
              <w:fldChar w:fldCharType="separate"/>
            </w:r>
            <w:r w:rsidR="00DA5A4B">
              <w:rPr>
                <w:rFonts w:asciiTheme="minorHAnsi" w:hAnsiTheme="minorHAnsi" w:cstheme="minorHAnsi"/>
                <w:noProof/>
                <w:webHidden/>
              </w:rPr>
              <w:t>6</w:t>
            </w:r>
            <w:r w:rsidR="00342AE4" w:rsidRPr="00EA21C7">
              <w:rPr>
                <w:rFonts w:asciiTheme="minorHAnsi" w:hAnsiTheme="minorHAnsi" w:cstheme="minorHAnsi"/>
                <w:noProof/>
                <w:webHidden/>
              </w:rPr>
              <w:fldChar w:fldCharType="end"/>
            </w:r>
          </w:hyperlink>
        </w:p>
        <w:p w14:paraId="0508500A" w14:textId="4575D7B4" w:rsidR="00A44503" w:rsidRPr="00EA21C7" w:rsidRDefault="00A44503" w:rsidP="00A44503">
          <w:pPr>
            <w:rPr>
              <w:rFonts w:cstheme="minorHAnsi"/>
            </w:rPr>
          </w:pPr>
          <w:r w:rsidRPr="00EA21C7">
            <w:rPr>
              <w:rFonts w:cstheme="minorHAnsi"/>
              <w:b/>
              <w:bCs/>
            </w:rPr>
            <w:fldChar w:fldCharType="end"/>
          </w:r>
        </w:p>
      </w:sdtContent>
    </w:sdt>
    <w:p w14:paraId="2AF350D2" w14:textId="77777777" w:rsidR="00A44503" w:rsidRPr="00EA21C7" w:rsidRDefault="00A44503" w:rsidP="00A44503">
      <w:pPr>
        <w:rPr>
          <w:rFonts w:cstheme="minorHAnsi"/>
        </w:rPr>
      </w:pPr>
    </w:p>
    <w:p w14:paraId="5370632D" w14:textId="77777777" w:rsidR="00A44503" w:rsidRPr="00EA21C7" w:rsidRDefault="00A44503" w:rsidP="00A44503">
      <w:pPr>
        <w:rPr>
          <w:rFonts w:cstheme="minorHAnsi"/>
        </w:rPr>
      </w:pPr>
    </w:p>
    <w:p w14:paraId="19999BDA" w14:textId="77777777" w:rsidR="00A50851" w:rsidRPr="00EA21C7" w:rsidRDefault="00A50851">
      <w:pPr>
        <w:rPr>
          <w:rFonts w:cstheme="minorHAnsi"/>
          <w:color w:val="0070C0"/>
          <w:sz w:val="28"/>
          <w:szCs w:val="28"/>
        </w:rPr>
      </w:pPr>
      <w:r w:rsidRPr="00EA21C7">
        <w:rPr>
          <w:rFonts w:cstheme="minorHAnsi"/>
          <w:color w:val="0070C0"/>
          <w:sz w:val="28"/>
          <w:szCs w:val="28"/>
        </w:rPr>
        <w:br w:type="page"/>
      </w:r>
    </w:p>
    <w:p w14:paraId="34FCC041" w14:textId="77777777" w:rsidR="00A44503" w:rsidRPr="001B50D4" w:rsidRDefault="00A44503" w:rsidP="00A44503">
      <w:pPr>
        <w:rPr>
          <w:rFonts w:cstheme="minorHAnsi"/>
          <w:color w:val="0070C0"/>
          <w:sz w:val="28"/>
          <w:szCs w:val="28"/>
          <w:lang w:val="en-US"/>
        </w:rPr>
      </w:pPr>
      <w:r w:rsidRPr="001B50D4">
        <w:rPr>
          <w:rFonts w:cstheme="minorHAnsi"/>
          <w:color w:val="0070C0"/>
          <w:sz w:val="28"/>
          <w:szCs w:val="28"/>
          <w:lang w:val="en-US"/>
        </w:rPr>
        <w:lastRenderedPageBreak/>
        <w:t>Lyhenteet</w:t>
      </w:r>
    </w:p>
    <w:p w14:paraId="4B5B0075" w14:textId="20A7E17C" w:rsidR="004C28DB" w:rsidRPr="001B50D4" w:rsidRDefault="004C28DB" w:rsidP="00534E69">
      <w:pPr>
        <w:rPr>
          <w:rFonts w:cstheme="minorHAnsi"/>
          <w:lang w:val="en-US"/>
        </w:rPr>
      </w:pPr>
      <w:r w:rsidRPr="001B50D4">
        <w:rPr>
          <w:rFonts w:cstheme="minorHAnsi"/>
          <w:lang w:val="en-US"/>
        </w:rPr>
        <w:tab/>
      </w:r>
    </w:p>
    <w:p w14:paraId="09451469" w14:textId="2280BAE2" w:rsidR="00BD210A" w:rsidRPr="001B50D4" w:rsidRDefault="00BD210A" w:rsidP="00BD210A">
      <w:pPr>
        <w:pStyle w:val="Default"/>
        <w:rPr>
          <w:rFonts w:asciiTheme="minorHAnsi" w:hAnsiTheme="minorHAnsi" w:cstheme="minorHAnsi"/>
          <w:sz w:val="22"/>
          <w:szCs w:val="22"/>
          <w:lang w:val="en-US"/>
        </w:rPr>
      </w:pPr>
    </w:p>
    <w:p w14:paraId="2E5421CB" w14:textId="01CC22EF" w:rsidR="00BD210A" w:rsidRPr="00EA21C7" w:rsidRDefault="00BD210A" w:rsidP="00BD210A">
      <w:pPr>
        <w:pStyle w:val="Default"/>
        <w:rPr>
          <w:rFonts w:asciiTheme="minorHAnsi" w:hAnsiTheme="minorHAnsi" w:cstheme="minorHAnsi"/>
          <w:sz w:val="22"/>
          <w:szCs w:val="22"/>
          <w:lang w:val="en-US"/>
        </w:rPr>
      </w:pPr>
      <w:r w:rsidRPr="00EA21C7">
        <w:rPr>
          <w:rFonts w:asciiTheme="minorHAnsi" w:hAnsiTheme="minorHAnsi" w:cstheme="minorHAnsi"/>
          <w:sz w:val="22"/>
          <w:szCs w:val="22"/>
          <w:lang w:val="en-US"/>
        </w:rPr>
        <w:t>CSCC</w:t>
      </w:r>
      <w:r w:rsidRPr="00EA21C7">
        <w:rPr>
          <w:rFonts w:asciiTheme="minorHAnsi" w:hAnsiTheme="minorHAnsi" w:cstheme="minorHAnsi"/>
          <w:sz w:val="22"/>
          <w:szCs w:val="22"/>
          <w:lang w:val="en-US"/>
        </w:rPr>
        <w:tab/>
        <w:t xml:space="preserve">Ihon okasolusyöpä (Cutaneous Squamous Cell Carcinoma) </w:t>
      </w:r>
    </w:p>
    <w:p w14:paraId="3F8E2A65" w14:textId="08DFFE46" w:rsidR="00BD210A" w:rsidRPr="00EA21C7" w:rsidRDefault="00BD210A" w:rsidP="00BD210A">
      <w:pPr>
        <w:pStyle w:val="Default"/>
        <w:rPr>
          <w:rFonts w:asciiTheme="minorHAnsi" w:hAnsiTheme="minorHAnsi" w:cstheme="minorHAnsi"/>
          <w:sz w:val="22"/>
          <w:szCs w:val="22"/>
          <w:lang w:val="en-US"/>
        </w:rPr>
      </w:pPr>
    </w:p>
    <w:p w14:paraId="1E9B5693" w14:textId="2C5B5283" w:rsidR="00BD210A" w:rsidRDefault="00BD210A" w:rsidP="00BD210A">
      <w:pPr>
        <w:pStyle w:val="Default"/>
        <w:rPr>
          <w:rFonts w:asciiTheme="minorHAnsi" w:hAnsiTheme="minorHAnsi" w:cstheme="minorHAnsi"/>
          <w:sz w:val="22"/>
          <w:szCs w:val="22"/>
        </w:rPr>
      </w:pPr>
      <w:r w:rsidRPr="00EA21C7">
        <w:rPr>
          <w:rFonts w:asciiTheme="minorHAnsi" w:hAnsiTheme="minorHAnsi" w:cstheme="minorHAnsi"/>
          <w:sz w:val="22"/>
          <w:szCs w:val="22"/>
        </w:rPr>
        <w:t>ECOG</w:t>
      </w:r>
      <w:r w:rsidRPr="00EA21C7">
        <w:rPr>
          <w:rFonts w:asciiTheme="minorHAnsi" w:hAnsiTheme="minorHAnsi" w:cstheme="minorHAnsi"/>
          <w:sz w:val="22"/>
          <w:szCs w:val="22"/>
        </w:rPr>
        <w:tab/>
        <w:t xml:space="preserve">Potilaiden toimintakyvyn arviointiin käytetty luokitus (Eastern Cooperative Oncology Group Performance Status) </w:t>
      </w:r>
    </w:p>
    <w:p w14:paraId="780E8C7E" w14:textId="2C1496A6" w:rsidR="001208F0" w:rsidRDefault="001208F0" w:rsidP="00BD210A">
      <w:pPr>
        <w:pStyle w:val="Default"/>
        <w:rPr>
          <w:rFonts w:asciiTheme="minorHAnsi" w:hAnsiTheme="minorHAnsi" w:cstheme="minorHAnsi"/>
          <w:sz w:val="22"/>
          <w:szCs w:val="22"/>
        </w:rPr>
      </w:pPr>
    </w:p>
    <w:p w14:paraId="2CE43466" w14:textId="5F27EF46" w:rsidR="001208F0" w:rsidRDefault="001208F0" w:rsidP="00BD210A">
      <w:pPr>
        <w:pStyle w:val="Default"/>
        <w:rPr>
          <w:rFonts w:asciiTheme="minorHAnsi" w:hAnsiTheme="minorHAnsi" w:cstheme="minorHAnsi"/>
          <w:sz w:val="22"/>
          <w:szCs w:val="22"/>
        </w:rPr>
      </w:pPr>
      <w:r>
        <w:rPr>
          <w:rFonts w:asciiTheme="minorHAnsi" w:hAnsiTheme="minorHAnsi" w:cstheme="minorHAnsi"/>
          <w:sz w:val="22"/>
          <w:szCs w:val="22"/>
        </w:rPr>
        <w:t>EMA</w:t>
      </w:r>
      <w:r>
        <w:rPr>
          <w:rFonts w:asciiTheme="minorHAnsi" w:hAnsiTheme="minorHAnsi" w:cstheme="minorHAnsi"/>
          <w:sz w:val="22"/>
          <w:szCs w:val="22"/>
        </w:rPr>
        <w:tab/>
        <w:t>Euroopan lääkevirasto</w:t>
      </w:r>
    </w:p>
    <w:p w14:paraId="1A1344F2" w14:textId="77777777" w:rsidR="001208F0" w:rsidRPr="00EA21C7" w:rsidRDefault="001208F0" w:rsidP="00BD210A">
      <w:pPr>
        <w:pStyle w:val="Default"/>
        <w:rPr>
          <w:rFonts w:asciiTheme="minorHAnsi" w:hAnsiTheme="minorHAnsi" w:cstheme="minorHAnsi"/>
          <w:sz w:val="22"/>
          <w:szCs w:val="22"/>
        </w:rPr>
      </w:pPr>
    </w:p>
    <w:p w14:paraId="2D467558" w14:textId="43B8A2C3" w:rsidR="00BD210A" w:rsidRPr="00453A3E" w:rsidRDefault="007C49CC" w:rsidP="00534E69">
      <w:pPr>
        <w:rPr>
          <w:rFonts w:cstheme="minorHAnsi"/>
          <w:lang w:val="en-US"/>
        </w:rPr>
      </w:pPr>
      <w:r w:rsidRPr="00453A3E">
        <w:rPr>
          <w:rFonts w:cstheme="minorHAnsi"/>
          <w:lang w:val="en-US"/>
        </w:rPr>
        <w:t>ICER</w:t>
      </w:r>
      <w:r w:rsidRPr="00453A3E">
        <w:rPr>
          <w:rFonts w:cstheme="minorHAnsi"/>
          <w:lang w:val="en-US"/>
        </w:rPr>
        <w:tab/>
        <w:t>Inkrementaa</w:t>
      </w:r>
      <w:r w:rsidR="00534E69" w:rsidRPr="00453A3E">
        <w:rPr>
          <w:rFonts w:cstheme="minorHAnsi"/>
          <w:lang w:val="en-US"/>
        </w:rPr>
        <w:t>linen kustannusvaikuttavuussuhde</w:t>
      </w:r>
    </w:p>
    <w:p w14:paraId="552748B9" w14:textId="5F1DBFB1" w:rsidR="0048122B" w:rsidRPr="00453A3E" w:rsidRDefault="0048122B" w:rsidP="00D46A21">
      <w:pPr>
        <w:pStyle w:val="Default"/>
        <w:rPr>
          <w:rFonts w:asciiTheme="minorHAnsi" w:hAnsiTheme="minorHAnsi" w:cstheme="minorHAnsi"/>
          <w:sz w:val="22"/>
          <w:szCs w:val="22"/>
          <w:lang w:val="en-US"/>
        </w:rPr>
      </w:pPr>
    </w:p>
    <w:p w14:paraId="134FC504" w14:textId="41857FF0" w:rsidR="0048122B" w:rsidRPr="0048122B" w:rsidRDefault="0048122B" w:rsidP="00D46A21">
      <w:pPr>
        <w:pStyle w:val="Default"/>
        <w:rPr>
          <w:rFonts w:asciiTheme="minorHAnsi" w:hAnsiTheme="minorHAnsi" w:cstheme="minorHAnsi"/>
          <w:sz w:val="22"/>
          <w:szCs w:val="22"/>
          <w:lang w:val="en-US"/>
        </w:rPr>
      </w:pPr>
      <w:r w:rsidRPr="0048122B">
        <w:rPr>
          <w:rFonts w:asciiTheme="minorHAnsi" w:hAnsiTheme="minorHAnsi" w:cstheme="minorHAnsi"/>
          <w:sz w:val="22"/>
          <w:szCs w:val="22"/>
          <w:lang w:val="en-US"/>
        </w:rPr>
        <w:t>NICE</w:t>
      </w:r>
      <w:r w:rsidRPr="0048122B">
        <w:rPr>
          <w:rFonts w:asciiTheme="minorHAnsi" w:hAnsiTheme="minorHAnsi" w:cstheme="minorHAnsi"/>
          <w:sz w:val="22"/>
          <w:szCs w:val="22"/>
          <w:lang w:val="en-US"/>
        </w:rPr>
        <w:tab/>
      </w:r>
      <w:r>
        <w:rPr>
          <w:rFonts w:asciiTheme="minorHAnsi" w:hAnsiTheme="minorHAnsi" w:cstheme="minorHAnsi"/>
          <w:sz w:val="22"/>
          <w:szCs w:val="22"/>
          <w:lang w:val="en-US"/>
        </w:rPr>
        <w:t xml:space="preserve">The </w:t>
      </w:r>
      <w:r w:rsidRPr="0048122B">
        <w:rPr>
          <w:rFonts w:asciiTheme="minorHAnsi" w:hAnsiTheme="minorHAnsi" w:cstheme="minorHAnsi"/>
          <w:sz w:val="22"/>
          <w:szCs w:val="22"/>
          <w:lang w:val="en-US"/>
        </w:rPr>
        <w:t xml:space="preserve">National Institute </w:t>
      </w:r>
      <w:r>
        <w:rPr>
          <w:rFonts w:asciiTheme="minorHAnsi" w:hAnsiTheme="minorHAnsi" w:cstheme="minorHAnsi"/>
          <w:sz w:val="22"/>
          <w:szCs w:val="22"/>
          <w:lang w:val="en-US"/>
        </w:rPr>
        <w:t>for Health and Care</w:t>
      </w:r>
      <w:r w:rsidRPr="0048122B">
        <w:rPr>
          <w:rFonts w:asciiTheme="minorHAnsi" w:hAnsiTheme="minorHAnsi" w:cstheme="minorHAnsi"/>
          <w:sz w:val="22"/>
          <w:szCs w:val="22"/>
          <w:lang w:val="en-US"/>
        </w:rPr>
        <w:t xml:space="preserve"> Excellence</w:t>
      </w:r>
      <w:r>
        <w:rPr>
          <w:rFonts w:asciiTheme="minorHAnsi" w:hAnsiTheme="minorHAnsi" w:cstheme="minorHAnsi"/>
          <w:sz w:val="22"/>
          <w:szCs w:val="22"/>
          <w:lang w:val="en-US"/>
        </w:rPr>
        <w:t xml:space="preserve">, Englanti. </w:t>
      </w:r>
    </w:p>
    <w:p w14:paraId="6E4682B0" w14:textId="09D4EFC0" w:rsidR="00D46A21" w:rsidRPr="0048122B" w:rsidRDefault="00D46A21" w:rsidP="00534E69">
      <w:pPr>
        <w:rPr>
          <w:rFonts w:cstheme="minorHAnsi"/>
          <w:lang w:val="en-US"/>
        </w:rPr>
      </w:pPr>
    </w:p>
    <w:p w14:paraId="13425A0F" w14:textId="6C0777D2" w:rsidR="00D46A21" w:rsidRPr="00EA21C7" w:rsidRDefault="00D46A21" w:rsidP="00D46A21">
      <w:pPr>
        <w:pStyle w:val="Default"/>
        <w:rPr>
          <w:rFonts w:asciiTheme="minorHAnsi" w:hAnsiTheme="minorHAnsi" w:cstheme="minorHAnsi"/>
          <w:sz w:val="22"/>
          <w:szCs w:val="22"/>
          <w:lang w:val="en-US"/>
        </w:rPr>
      </w:pPr>
      <w:r w:rsidRPr="00EA21C7">
        <w:rPr>
          <w:rFonts w:asciiTheme="minorHAnsi" w:hAnsiTheme="minorHAnsi" w:cstheme="minorHAnsi"/>
          <w:sz w:val="22"/>
          <w:szCs w:val="22"/>
          <w:lang w:val="en-US"/>
        </w:rPr>
        <w:t>ORR</w:t>
      </w:r>
      <w:r w:rsidRPr="00EA21C7">
        <w:rPr>
          <w:rFonts w:asciiTheme="minorHAnsi" w:hAnsiTheme="minorHAnsi" w:cstheme="minorHAnsi"/>
          <w:sz w:val="22"/>
          <w:szCs w:val="22"/>
          <w:lang w:val="en-US"/>
        </w:rPr>
        <w:tab/>
        <w:t xml:space="preserve">Hoitovasteosuus (Objective Response Rate) </w:t>
      </w:r>
    </w:p>
    <w:p w14:paraId="7CC49BE0" w14:textId="2412311C" w:rsidR="00D46A21" w:rsidRPr="00EA21C7" w:rsidRDefault="00D46A21" w:rsidP="00534E69">
      <w:pPr>
        <w:rPr>
          <w:rFonts w:cstheme="minorHAnsi"/>
          <w:lang w:val="en-US"/>
        </w:rPr>
      </w:pPr>
    </w:p>
    <w:p w14:paraId="7ED121E7" w14:textId="1EBA7F67" w:rsidR="00D46A21" w:rsidRPr="00EA21C7" w:rsidRDefault="00D46A21" w:rsidP="002A1394">
      <w:pPr>
        <w:rPr>
          <w:rFonts w:cstheme="minorHAnsi"/>
          <w:color w:val="000000"/>
        </w:rPr>
      </w:pPr>
      <w:r w:rsidRPr="00EA21C7">
        <w:rPr>
          <w:rFonts w:cstheme="minorHAnsi"/>
        </w:rPr>
        <w:t>PFS</w:t>
      </w:r>
      <w:r w:rsidRPr="00EA21C7">
        <w:rPr>
          <w:rFonts w:cstheme="minorHAnsi"/>
        </w:rPr>
        <w:tab/>
      </w:r>
      <w:r w:rsidRPr="00EA21C7">
        <w:rPr>
          <w:rFonts w:cstheme="minorHAnsi"/>
          <w:color w:val="000000"/>
        </w:rPr>
        <w:t xml:space="preserve">Elossaoloaika ennen taudin etenemistä (Progression-Free Survival) </w:t>
      </w:r>
    </w:p>
    <w:p w14:paraId="415C1721" w14:textId="0D0E392E" w:rsidR="00D46A21" w:rsidRPr="00EA21C7" w:rsidRDefault="00D46A21" w:rsidP="00D46A21">
      <w:pPr>
        <w:pStyle w:val="Default"/>
        <w:rPr>
          <w:rFonts w:asciiTheme="minorHAnsi" w:hAnsiTheme="minorHAnsi" w:cstheme="minorHAnsi"/>
          <w:sz w:val="22"/>
          <w:szCs w:val="22"/>
          <w:lang w:val="en-US"/>
        </w:rPr>
      </w:pPr>
      <w:r w:rsidRPr="00EA21C7">
        <w:rPr>
          <w:rFonts w:asciiTheme="minorHAnsi" w:hAnsiTheme="minorHAnsi" w:cstheme="minorHAnsi"/>
          <w:sz w:val="22"/>
          <w:szCs w:val="22"/>
          <w:lang w:val="en-US"/>
        </w:rPr>
        <w:t>QALY</w:t>
      </w:r>
      <w:r w:rsidRPr="00EA21C7">
        <w:rPr>
          <w:rFonts w:asciiTheme="minorHAnsi" w:hAnsiTheme="minorHAnsi" w:cstheme="minorHAnsi"/>
          <w:sz w:val="22"/>
          <w:szCs w:val="22"/>
          <w:lang w:val="en-US"/>
        </w:rPr>
        <w:tab/>
        <w:t xml:space="preserve">Laatupainotettu elinvuosi (Quality-Adjusted Live Year) </w:t>
      </w:r>
    </w:p>
    <w:p w14:paraId="73B65ED8" w14:textId="4C39624B" w:rsidR="00D46A21" w:rsidRPr="00EA21C7" w:rsidRDefault="00D46A21" w:rsidP="002A1394">
      <w:pPr>
        <w:rPr>
          <w:rFonts w:cstheme="minorHAnsi"/>
          <w:color w:val="000000"/>
          <w:lang w:val="en-US"/>
        </w:rPr>
      </w:pPr>
    </w:p>
    <w:p w14:paraId="2FACA467" w14:textId="77777777" w:rsidR="00D46A21" w:rsidRPr="00EA21C7" w:rsidRDefault="00D46A21" w:rsidP="00534E69">
      <w:pPr>
        <w:rPr>
          <w:rFonts w:cstheme="minorHAnsi"/>
          <w:lang w:val="en-US"/>
        </w:rPr>
        <w:sectPr w:rsidR="00D46A21" w:rsidRPr="00EA21C7" w:rsidSect="00E21C21">
          <w:headerReference w:type="default" r:id="rId11"/>
          <w:pgSz w:w="11906" w:h="16838"/>
          <w:pgMar w:top="1417" w:right="1134" w:bottom="1417" w:left="1134" w:header="708" w:footer="708" w:gutter="0"/>
          <w:pgNumType w:start="1"/>
          <w:cols w:space="708"/>
          <w:docGrid w:linePitch="360"/>
        </w:sectPr>
      </w:pPr>
    </w:p>
    <w:p w14:paraId="4247BB75" w14:textId="77777777" w:rsidR="00A44503" w:rsidRPr="00EA21C7" w:rsidRDefault="00A44503" w:rsidP="002B5984">
      <w:pPr>
        <w:pStyle w:val="Otsikko2"/>
        <w:rPr>
          <w:rFonts w:asciiTheme="minorHAnsi" w:hAnsiTheme="minorHAnsi" w:cstheme="minorHAnsi"/>
        </w:rPr>
      </w:pPr>
      <w:bookmarkStart w:id="0" w:name="_Toc478461250"/>
      <w:bookmarkStart w:id="1" w:name="_Toc496005779"/>
      <w:bookmarkStart w:id="2" w:name="_Toc15543595"/>
      <w:r w:rsidRPr="00EA21C7">
        <w:rPr>
          <w:rFonts w:asciiTheme="minorHAnsi" w:hAnsiTheme="minorHAnsi" w:cstheme="minorHAnsi"/>
        </w:rPr>
        <w:lastRenderedPageBreak/>
        <w:t>Perusteet suosituksen laatimiseen</w:t>
      </w:r>
      <w:bookmarkEnd w:id="0"/>
      <w:bookmarkEnd w:id="1"/>
      <w:bookmarkEnd w:id="2"/>
    </w:p>
    <w:p w14:paraId="54EF5790" w14:textId="77777777" w:rsidR="00A44503" w:rsidRPr="00EA21C7" w:rsidRDefault="00A44503" w:rsidP="00A44503">
      <w:pPr>
        <w:rPr>
          <w:rFonts w:cstheme="minorHAnsi"/>
        </w:rPr>
      </w:pPr>
    </w:p>
    <w:p w14:paraId="7CFF03E7" w14:textId="154CF344" w:rsidR="00A44503" w:rsidRDefault="00534E69" w:rsidP="00A44503">
      <w:pPr>
        <w:rPr>
          <w:rFonts w:eastAsia="MS PGothic" w:cstheme="minorHAnsi"/>
        </w:rPr>
      </w:pPr>
      <w:r w:rsidRPr="00EA21C7">
        <w:rPr>
          <w:rFonts w:eastAsia="MS PGothic" w:cstheme="minorHAnsi"/>
        </w:rPr>
        <w:t xml:space="preserve">Palkon suositus perustuu </w:t>
      </w:r>
      <w:r w:rsidR="00444825">
        <w:rPr>
          <w:rFonts w:eastAsia="MS PGothic" w:cstheme="minorHAnsi"/>
        </w:rPr>
        <w:t xml:space="preserve">pääasiassa </w:t>
      </w:r>
      <w:r w:rsidRPr="00EA21C7">
        <w:rPr>
          <w:rFonts w:eastAsia="MS PGothic" w:cstheme="minorHAnsi"/>
        </w:rPr>
        <w:t xml:space="preserve">Fimean </w:t>
      </w:r>
      <w:r w:rsidR="00E61842" w:rsidRPr="00EA21C7">
        <w:rPr>
          <w:rFonts w:eastAsia="MS PGothic" w:cstheme="minorHAnsi"/>
        </w:rPr>
        <w:t>lokakuussa</w:t>
      </w:r>
      <w:r w:rsidR="004C28DB" w:rsidRPr="00EA21C7">
        <w:rPr>
          <w:rFonts w:eastAsia="MS PGothic" w:cstheme="minorHAnsi"/>
        </w:rPr>
        <w:t xml:space="preserve"> 2019</w:t>
      </w:r>
      <w:r w:rsidR="00A44503" w:rsidRPr="00EA21C7">
        <w:rPr>
          <w:rFonts w:eastAsia="MS PGothic" w:cstheme="minorHAnsi"/>
        </w:rPr>
        <w:t xml:space="preserve"> julkaisemaan arviointiraporttiin</w:t>
      </w:r>
      <w:r w:rsidR="00A50851" w:rsidRPr="00EA21C7">
        <w:rPr>
          <w:rStyle w:val="Alaviitteenviite"/>
          <w:rFonts w:eastAsia="MS PGothic" w:cstheme="minorHAnsi"/>
        </w:rPr>
        <w:footnoteReference w:id="1"/>
      </w:r>
      <w:r w:rsidR="00A44503" w:rsidRPr="00EA21C7">
        <w:rPr>
          <w:rFonts w:eastAsia="MS PGothic" w:cstheme="minorHAnsi"/>
        </w:rPr>
        <w:t xml:space="preserve">. </w:t>
      </w:r>
      <w:r w:rsidR="00042EF0" w:rsidRPr="00EA21C7">
        <w:rPr>
          <w:rFonts w:eastAsia="MS PGothic" w:cstheme="minorHAnsi"/>
        </w:rPr>
        <w:t>Muun taustamateriaalin viitteet</w:t>
      </w:r>
      <w:bookmarkStart w:id="3" w:name="_Toc478461251"/>
      <w:bookmarkStart w:id="4" w:name="_Toc496005780"/>
      <w:bookmarkEnd w:id="3"/>
      <w:bookmarkEnd w:id="4"/>
      <w:r w:rsidR="00A44503" w:rsidRPr="00EA21C7">
        <w:rPr>
          <w:rFonts w:eastAsia="MS PGothic" w:cstheme="minorHAnsi"/>
        </w:rPr>
        <w:t xml:space="preserve"> ja suosituksen valmisteluvaiheet</w:t>
      </w:r>
      <w:r w:rsidR="00042EF0" w:rsidRPr="00EA21C7">
        <w:rPr>
          <w:rFonts w:eastAsia="MS PGothic" w:cstheme="minorHAnsi"/>
        </w:rPr>
        <w:t xml:space="preserve"> ovat kuvattu suosituksessa.</w:t>
      </w:r>
    </w:p>
    <w:p w14:paraId="34EAC4A9" w14:textId="77777777" w:rsidR="00732357" w:rsidRPr="00EA21C7" w:rsidRDefault="00732357" w:rsidP="00A44503">
      <w:pPr>
        <w:rPr>
          <w:rFonts w:cstheme="minorHAnsi"/>
        </w:rPr>
      </w:pPr>
    </w:p>
    <w:p w14:paraId="5E45B7E4" w14:textId="465F2DD7" w:rsidR="00A44503" w:rsidRPr="00EA21C7" w:rsidRDefault="00A44503" w:rsidP="002B5984">
      <w:pPr>
        <w:pStyle w:val="Otsikko2"/>
        <w:rPr>
          <w:rFonts w:asciiTheme="minorHAnsi" w:hAnsiTheme="minorHAnsi" w:cstheme="minorHAnsi"/>
        </w:rPr>
      </w:pPr>
      <w:bookmarkStart w:id="5" w:name="_Toc15543596"/>
      <w:r w:rsidRPr="00EA21C7">
        <w:rPr>
          <w:rFonts w:asciiTheme="minorHAnsi" w:hAnsiTheme="minorHAnsi" w:cstheme="minorHAnsi"/>
        </w:rPr>
        <w:t>Suosituksen kohderyhmä</w:t>
      </w:r>
      <w:bookmarkEnd w:id="5"/>
    </w:p>
    <w:p w14:paraId="33AC9326" w14:textId="77777777" w:rsidR="00A50851" w:rsidRPr="00EA21C7" w:rsidRDefault="00A50851" w:rsidP="00A50851">
      <w:pPr>
        <w:rPr>
          <w:rFonts w:cstheme="minorHAnsi"/>
          <w:lang w:eastAsia="fi-FI"/>
        </w:rPr>
      </w:pPr>
    </w:p>
    <w:p w14:paraId="596C4EDA" w14:textId="2B697E71" w:rsidR="004C28DB" w:rsidRPr="00EA21C7" w:rsidRDefault="004C28DB" w:rsidP="00A50851">
      <w:pPr>
        <w:rPr>
          <w:rFonts w:cstheme="minorHAnsi"/>
          <w:lang w:eastAsia="fi-FI"/>
        </w:rPr>
      </w:pPr>
      <w:r w:rsidRPr="00EA21C7">
        <w:rPr>
          <w:rFonts w:cstheme="minorHAnsi"/>
          <w:lang w:eastAsia="fi-FI"/>
        </w:rPr>
        <w:t>Suomessa todetaan vuosittain noin 1 700 uutta ihon okasolusyöpää (CSCC), ja noin puolet potilaista on 80-vuotiaita tai vanhempia. Valtaosa tapauksista (noin 95 %) saadaan hoidettua leikkauksella ja/tai sädehoidolla. Pienellä osalla</w:t>
      </w:r>
      <w:r w:rsidR="005066F1" w:rsidRPr="00EA21C7">
        <w:rPr>
          <w:rFonts w:cstheme="minorHAnsi"/>
          <w:lang w:eastAsia="fi-FI"/>
        </w:rPr>
        <w:t xml:space="preserve"> </w:t>
      </w:r>
      <w:r w:rsidRPr="00EA21C7">
        <w:rPr>
          <w:rFonts w:cstheme="minorHAnsi"/>
          <w:lang w:eastAsia="fi-FI"/>
        </w:rPr>
        <w:t>potilaista tauti etenee joko paikallisena tai kehittää etäpesäkkeitä. Edenneet okasolusyövät kattavat sekä paikallisesti edenneet että etäpesäkkeiset tapaukset.</w:t>
      </w:r>
    </w:p>
    <w:p w14:paraId="214E54DC" w14:textId="18A53259" w:rsidR="00640418" w:rsidRPr="00EA21C7" w:rsidRDefault="00752830" w:rsidP="00A50851">
      <w:pPr>
        <w:rPr>
          <w:rFonts w:cstheme="minorHAnsi"/>
          <w:lang w:eastAsia="fi-FI"/>
        </w:rPr>
      </w:pPr>
      <w:r>
        <w:rPr>
          <w:rFonts w:cstheme="minorHAnsi"/>
          <w:lang w:eastAsia="fi-FI"/>
        </w:rPr>
        <w:t>Suomessa</w:t>
      </w:r>
      <w:r w:rsidRPr="00EA21C7" w:rsidDel="00752830">
        <w:rPr>
          <w:rFonts w:cstheme="minorHAnsi"/>
          <w:lang w:eastAsia="fi-FI"/>
        </w:rPr>
        <w:t xml:space="preserve"> </w:t>
      </w:r>
      <w:r>
        <w:rPr>
          <w:rFonts w:cstheme="minorHAnsi"/>
          <w:lang w:eastAsia="fi-FI"/>
        </w:rPr>
        <w:t>a</w:t>
      </w:r>
      <w:r w:rsidR="005066F1" w:rsidRPr="00EA21C7">
        <w:rPr>
          <w:rFonts w:cstheme="minorHAnsi"/>
          <w:lang w:eastAsia="fi-FI"/>
        </w:rPr>
        <w:t>rvio</w:t>
      </w:r>
      <w:r>
        <w:rPr>
          <w:rFonts w:cstheme="minorHAnsi"/>
          <w:lang w:eastAsia="fi-FI"/>
        </w:rPr>
        <w:t xml:space="preserve">lta noin </w:t>
      </w:r>
      <w:r w:rsidRPr="00EA21C7">
        <w:rPr>
          <w:rFonts w:cstheme="minorHAnsi"/>
          <w:lang w:eastAsia="fi-FI"/>
        </w:rPr>
        <w:t xml:space="preserve">20-24 uutta potilasta </w:t>
      </w:r>
      <w:r w:rsidR="004C28DB" w:rsidRPr="00EA21C7">
        <w:rPr>
          <w:rFonts w:cstheme="minorHAnsi"/>
          <w:lang w:eastAsia="fi-FI"/>
        </w:rPr>
        <w:t>vuosittain</w:t>
      </w:r>
      <w:r w:rsidR="002B606D">
        <w:rPr>
          <w:rFonts w:cstheme="minorHAnsi"/>
          <w:lang w:eastAsia="fi-FI"/>
        </w:rPr>
        <w:t xml:space="preserve"> </w:t>
      </w:r>
      <w:r w:rsidR="00AF2F4F" w:rsidRPr="00EA21C7">
        <w:rPr>
          <w:rFonts w:cstheme="minorHAnsi"/>
          <w:lang w:eastAsia="fi-FI"/>
        </w:rPr>
        <w:t xml:space="preserve">soveltuisi saamaan </w:t>
      </w:r>
      <w:r w:rsidR="004C28DB" w:rsidRPr="00EA21C7">
        <w:rPr>
          <w:rFonts w:cstheme="minorHAnsi"/>
          <w:lang w:eastAsia="fi-FI"/>
        </w:rPr>
        <w:t>semiplimabia</w:t>
      </w:r>
      <w:r w:rsidR="00AF2F4F" w:rsidRPr="00EA21C7">
        <w:rPr>
          <w:rFonts w:cstheme="minorHAnsi"/>
          <w:lang w:eastAsia="fi-FI"/>
        </w:rPr>
        <w:t xml:space="preserve"> arvioinnin kohteena olevassa käyttöaiheessa.</w:t>
      </w:r>
    </w:p>
    <w:p w14:paraId="6AE4AB28" w14:textId="77777777" w:rsidR="005066F1" w:rsidRPr="00EA21C7" w:rsidRDefault="005066F1" w:rsidP="00A50851">
      <w:pPr>
        <w:rPr>
          <w:rFonts w:cstheme="minorHAnsi"/>
          <w:lang w:eastAsia="fi-FI"/>
        </w:rPr>
      </w:pPr>
    </w:p>
    <w:p w14:paraId="5F977562" w14:textId="77777777" w:rsidR="00A44503" w:rsidRPr="00EA21C7" w:rsidRDefault="00A44503" w:rsidP="002B5984">
      <w:pPr>
        <w:pStyle w:val="Otsikko2"/>
        <w:rPr>
          <w:rFonts w:asciiTheme="minorHAnsi" w:hAnsiTheme="minorHAnsi" w:cstheme="minorHAnsi"/>
        </w:rPr>
      </w:pPr>
      <w:bookmarkStart w:id="6" w:name="_Toc15543597"/>
      <w:r w:rsidRPr="00EA21C7">
        <w:rPr>
          <w:rFonts w:asciiTheme="minorHAnsi" w:hAnsiTheme="minorHAnsi" w:cstheme="minorHAnsi"/>
        </w:rPr>
        <w:t>Arvioitava menetelmä</w:t>
      </w:r>
      <w:bookmarkEnd w:id="6"/>
    </w:p>
    <w:p w14:paraId="507F148E" w14:textId="3C59C601" w:rsidR="00A44503" w:rsidRPr="00EA21C7" w:rsidRDefault="00A44503" w:rsidP="00A44503">
      <w:pPr>
        <w:rPr>
          <w:rFonts w:cstheme="minorHAnsi"/>
        </w:rPr>
      </w:pPr>
    </w:p>
    <w:p w14:paraId="74109018" w14:textId="4D8FE5E7" w:rsidR="009430E8" w:rsidRPr="001B50D4" w:rsidRDefault="004C28DB" w:rsidP="00A44503">
      <w:pPr>
        <w:rPr>
          <w:rFonts w:cstheme="minorHAnsi"/>
        </w:rPr>
      </w:pPr>
      <w:r w:rsidRPr="00EA21C7">
        <w:rPr>
          <w:rFonts w:cstheme="minorHAnsi"/>
        </w:rPr>
        <w:t>Sem</w:t>
      </w:r>
      <w:r w:rsidR="00BC1AD4">
        <w:rPr>
          <w:rFonts w:cstheme="minorHAnsi"/>
        </w:rPr>
        <w:t>i</w:t>
      </w:r>
      <w:r w:rsidRPr="00EA21C7">
        <w:rPr>
          <w:rFonts w:cstheme="minorHAnsi"/>
        </w:rPr>
        <w:t xml:space="preserve">plimabi on ensimmäinen </w:t>
      </w:r>
      <w:r w:rsidR="00AA120F">
        <w:rPr>
          <w:rFonts w:cstheme="minorHAnsi"/>
        </w:rPr>
        <w:t>lääke</w:t>
      </w:r>
      <w:r w:rsidRPr="00EA21C7">
        <w:rPr>
          <w:rFonts w:cstheme="minorHAnsi"/>
        </w:rPr>
        <w:t>hoito, jolla on käyttöaihe ed</w:t>
      </w:r>
      <w:r w:rsidR="004F4606" w:rsidRPr="00EA21C7">
        <w:rPr>
          <w:rFonts w:cstheme="minorHAnsi"/>
        </w:rPr>
        <w:t xml:space="preserve">enneeseen ihon okasolusyöpään. </w:t>
      </w:r>
      <w:r w:rsidR="00F31DB5" w:rsidRPr="00EA21C7">
        <w:rPr>
          <w:rFonts w:cstheme="minorHAnsi"/>
        </w:rPr>
        <w:t>Valmiste (Libtayo) sai</w:t>
      </w:r>
      <w:r w:rsidR="009430E8" w:rsidRPr="00EA21C7">
        <w:rPr>
          <w:rFonts w:cstheme="minorHAnsi"/>
        </w:rPr>
        <w:t xml:space="preserve"> ehdollisen </w:t>
      </w:r>
      <w:r w:rsidR="00F31DB5" w:rsidRPr="00EA21C7">
        <w:rPr>
          <w:rFonts w:cstheme="minorHAnsi"/>
        </w:rPr>
        <w:t>myyntiluvan Eu</w:t>
      </w:r>
      <w:r w:rsidR="00FB25D7" w:rsidRPr="00EA21C7">
        <w:rPr>
          <w:rFonts w:cstheme="minorHAnsi"/>
        </w:rPr>
        <w:t>roopan lääke</w:t>
      </w:r>
      <w:r w:rsidR="00F31DB5" w:rsidRPr="00EA21C7">
        <w:rPr>
          <w:rFonts w:cstheme="minorHAnsi"/>
        </w:rPr>
        <w:t xml:space="preserve">virastolta </w:t>
      </w:r>
      <w:r w:rsidR="00823666" w:rsidRPr="00EA21C7">
        <w:rPr>
          <w:rFonts w:cstheme="minorHAnsi"/>
        </w:rPr>
        <w:t xml:space="preserve">kesäkuussa </w:t>
      </w:r>
      <w:r w:rsidR="00F31DB5" w:rsidRPr="00EA21C7">
        <w:rPr>
          <w:rFonts w:cstheme="minorHAnsi"/>
        </w:rPr>
        <w:t xml:space="preserve">2019. </w:t>
      </w:r>
      <w:r w:rsidR="00E353A6" w:rsidRPr="001B50D4">
        <w:rPr>
          <w:rFonts w:cstheme="minorHAnsi"/>
        </w:rPr>
        <w:t>Myyntilupa on ehdollinen, ja myyntil</w:t>
      </w:r>
      <w:r w:rsidR="000E58B2" w:rsidRPr="001B50D4">
        <w:rPr>
          <w:rFonts w:cstheme="minorHAnsi"/>
        </w:rPr>
        <w:t>uvan haltijan on toimitettava lisätietoa annostelusta, PD-L1-pitoisuuden merkityksestä biomarkkerina ja hoidon vaikutuksista pitkällä aikavälillä.</w:t>
      </w:r>
    </w:p>
    <w:p w14:paraId="16BAE5C8" w14:textId="2FE2C302" w:rsidR="00C24117" w:rsidRDefault="009430E8" w:rsidP="00A44503">
      <w:pPr>
        <w:rPr>
          <w:rFonts w:cstheme="minorHAnsi"/>
        </w:rPr>
      </w:pPr>
      <w:r w:rsidRPr="00EA21C7">
        <w:rPr>
          <w:rFonts w:cstheme="minorHAnsi"/>
        </w:rPr>
        <w:t xml:space="preserve">Semiplimabi </w:t>
      </w:r>
      <w:r w:rsidR="004C28DB" w:rsidRPr="00EA21C7">
        <w:rPr>
          <w:rFonts w:cstheme="minorHAnsi"/>
        </w:rPr>
        <w:t>on PD-1-immunoterapioiden ryhmään kuuluva monoklonaalinen vasta-aine.</w:t>
      </w:r>
      <w:r w:rsidRPr="00EA21C7">
        <w:rPr>
          <w:rFonts w:cstheme="minorHAnsi"/>
        </w:rPr>
        <w:t xml:space="preserve"> Se</w:t>
      </w:r>
      <w:r w:rsidR="002A1394" w:rsidRPr="00A20546">
        <w:rPr>
          <w:rFonts w:cstheme="minorHAnsi"/>
        </w:rPr>
        <w:t xml:space="preserve"> </w:t>
      </w:r>
      <w:r w:rsidR="00C24117" w:rsidRPr="00EA21C7">
        <w:rPr>
          <w:rFonts w:cstheme="minorHAnsi"/>
        </w:rPr>
        <w:t xml:space="preserve">on tarkoitettu </w:t>
      </w:r>
      <w:r w:rsidR="00E353A6">
        <w:rPr>
          <w:rFonts w:cstheme="minorHAnsi"/>
        </w:rPr>
        <w:t xml:space="preserve">yksinään käytettäväksi </w:t>
      </w:r>
      <w:r w:rsidR="00C24117" w:rsidRPr="00EA21C7">
        <w:rPr>
          <w:rFonts w:cstheme="minorHAnsi"/>
        </w:rPr>
        <w:t>ihon etäpesäkkeisen tai paikallisesti edenneen okasolusyövän hoitoon aikuisille potilaille, kun potilas ei sovellu saamaan parantavaa leikkaushoitoa tai sädehoitoa. Lääke annostellaan laskimoon kolmen viikon välein. Hoitoa voidaan jatkaa, kunnes sairaus etenee tai ilmenee toksisia vaikutuksia</w:t>
      </w:r>
      <w:r w:rsidR="00BD210A" w:rsidRPr="00EA21C7">
        <w:rPr>
          <w:rFonts w:cstheme="minorHAnsi"/>
        </w:rPr>
        <w:t>.</w:t>
      </w:r>
    </w:p>
    <w:p w14:paraId="295FF27A" w14:textId="77777777" w:rsidR="0026220A" w:rsidRPr="00EA21C7" w:rsidRDefault="0026220A" w:rsidP="00A44503">
      <w:pPr>
        <w:rPr>
          <w:rFonts w:cstheme="minorHAnsi"/>
        </w:rPr>
      </w:pPr>
    </w:p>
    <w:p w14:paraId="12A56880" w14:textId="77777777" w:rsidR="00A44503" w:rsidRPr="00EA21C7" w:rsidRDefault="00A44503" w:rsidP="002B5984">
      <w:pPr>
        <w:pStyle w:val="Otsikko2"/>
        <w:rPr>
          <w:rFonts w:asciiTheme="minorHAnsi" w:hAnsiTheme="minorHAnsi" w:cstheme="minorHAnsi"/>
        </w:rPr>
      </w:pPr>
      <w:bookmarkStart w:id="7" w:name="_Toc15543598"/>
      <w:r w:rsidRPr="00EA21C7">
        <w:rPr>
          <w:rFonts w:asciiTheme="minorHAnsi" w:hAnsiTheme="minorHAnsi" w:cstheme="minorHAnsi"/>
        </w:rPr>
        <w:t>Nykykäytäntö ja tutkimuksessa käytetty vaihtoehto</w:t>
      </w:r>
      <w:bookmarkEnd w:id="7"/>
    </w:p>
    <w:p w14:paraId="38271EF3" w14:textId="12D2E3A9" w:rsidR="00573D76" w:rsidRPr="00EA21C7" w:rsidRDefault="00573D76" w:rsidP="00573D76">
      <w:pPr>
        <w:rPr>
          <w:rFonts w:cstheme="minorHAnsi"/>
        </w:rPr>
      </w:pPr>
    </w:p>
    <w:p w14:paraId="24866BFA" w14:textId="333B7B4B" w:rsidR="00837146" w:rsidRDefault="00166903" w:rsidP="00837146">
      <w:pPr>
        <w:rPr>
          <w:rFonts w:cstheme="minorHAnsi"/>
          <w:sz w:val="23"/>
          <w:szCs w:val="23"/>
        </w:rPr>
      </w:pPr>
      <w:r w:rsidRPr="00EA21C7">
        <w:rPr>
          <w:rFonts w:cstheme="minorHAnsi"/>
          <w:lang w:eastAsia="fi-FI"/>
        </w:rPr>
        <w:t xml:space="preserve">Edenneeseen ihon okasolusyöpään ei ole </w:t>
      </w:r>
      <w:r w:rsidR="002A48AE">
        <w:rPr>
          <w:rFonts w:cstheme="minorHAnsi"/>
          <w:lang w:eastAsia="fi-FI"/>
        </w:rPr>
        <w:t>vakiintuneita hoitokäytäntöjä</w:t>
      </w:r>
      <w:r w:rsidRPr="00EA21C7">
        <w:rPr>
          <w:rFonts w:cstheme="minorHAnsi"/>
          <w:lang w:eastAsia="fi-FI"/>
        </w:rPr>
        <w:t xml:space="preserve">. Tästä johtuen hoito on tyypillisesti perustunut pään- ja kaulan alueen </w:t>
      </w:r>
      <w:r w:rsidR="002A48AE">
        <w:rPr>
          <w:rFonts w:cstheme="minorHAnsi"/>
          <w:lang w:eastAsia="fi-FI"/>
        </w:rPr>
        <w:t>levyepiteeli</w:t>
      </w:r>
      <w:r w:rsidRPr="00EA21C7">
        <w:rPr>
          <w:rFonts w:cstheme="minorHAnsi"/>
          <w:lang w:eastAsia="fi-FI"/>
        </w:rPr>
        <w:t xml:space="preserve">syöpien hoitosuositusten soveltamiseen. </w:t>
      </w:r>
      <w:r w:rsidR="00954E49" w:rsidRPr="001B50D4">
        <w:rPr>
          <w:rFonts w:cstheme="minorHAnsi"/>
        </w:rPr>
        <w:t>Okasolusy</w:t>
      </w:r>
      <w:r w:rsidR="00954E49" w:rsidRPr="001B50D4">
        <w:rPr>
          <w:rFonts w:cstheme="minorHAnsi" w:hint="eastAsia"/>
        </w:rPr>
        <w:t>ö</w:t>
      </w:r>
      <w:r w:rsidR="00954E49" w:rsidRPr="001B50D4">
        <w:rPr>
          <w:rFonts w:cstheme="minorHAnsi"/>
        </w:rPr>
        <w:t>v</w:t>
      </w:r>
      <w:r w:rsidR="00954E49" w:rsidRPr="001B50D4">
        <w:rPr>
          <w:rFonts w:cstheme="minorHAnsi" w:hint="eastAsia"/>
        </w:rPr>
        <w:t>ä</w:t>
      </w:r>
      <w:r w:rsidR="00954E49" w:rsidRPr="001B50D4">
        <w:rPr>
          <w:rFonts w:cstheme="minorHAnsi"/>
        </w:rPr>
        <w:t xml:space="preserve">n </w:t>
      </w:r>
      <w:r w:rsidR="00787A39" w:rsidRPr="001B50D4">
        <w:rPr>
          <w:rFonts w:cstheme="minorHAnsi"/>
        </w:rPr>
        <w:lastRenderedPageBreak/>
        <w:t>t</w:t>
      </w:r>
      <w:r w:rsidR="00954E49" w:rsidRPr="001B50D4">
        <w:rPr>
          <w:rFonts w:cstheme="minorHAnsi" w:hint="eastAsia"/>
        </w:rPr>
        <w:t>ä</w:t>
      </w:r>
      <w:r w:rsidR="00954E49" w:rsidRPr="001B50D4">
        <w:rPr>
          <w:rFonts w:cstheme="minorHAnsi"/>
        </w:rPr>
        <w:t>rkein hoitomuoto on leikkaus. S</w:t>
      </w:r>
      <w:r w:rsidR="00954E49" w:rsidRPr="001B50D4">
        <w:rPr>
          <w:rFonts w:cstheme="minorHAnsi" w:hint="eastAsia"/>
        </w:rPr>
        <w:t>ä</w:t>
      </w:r>
      <w:r w:rsidR="00954E49" w:rsidRPr="001B50D4">
        <w:rPr>
          <w:rFonts w:cstheme="minorHAnsi"/>
        </w:rPr>
        <w:t>dehoidon k</w:t>
      </w:r>
      <w:r w:rsidR="00954E49" w:rsidRPr="001B50D4">
        <w:rPr>
          <w:rFonts w:cstheme="minorHAnsi" w:hint="eastAsia"/>
        </w:rPr>
        <w:t>ä</w:t>
      </w:r>
      <w:r w:rsidR="00954E49" w:rsidRPr="001B50D4">
        <w:rPr>
          <w:rFonts w:cstheme="minorHAnsi"/>
        </w:rPr>
        <w:t>ytt</w:t>
      </w:r>
      <w:r w:rsidR="00954E49" w:rsidRPr="001B50D4">
        <w:rPr>
          <w:rFonts w:cstheme="minorHAnsi" w:hint="eastAsia"/>
        </w:rPr>
        <w:t>ö</w:t>
      </w:r>
      <w:r w:rsidR="00954E49" w:rsidRPr="001B50D4">
        <w:rPr>
          <w:rFonts w:cstheme="minorHAnsi"/>
        </w:rPr>
        <w:t xml:space="preserve"> on harvinaisempaa. </w:t>
      </w:r>
      <w:r w:rsidR="00240101" w:rsidRPr="00BE5B67">
        <w:rPr>
          <w:rFonts w:cstheme="minorHAnsi"/>
        </w:rPr>
        <w:t>E</w:t>
      </w:r>
      <w:r w:rsidR="00954E49" w:rsidRPr="00BE5B67">
        <w:rPr>
          <w:rFonts w:cstheme="minorHAnsi"/>
        </w:rPr>
        <w:t>de</w:t>
      </w:r>
      <w:r w:rsidR="00240101" w:rsidRPr="00BE5B67">
        <w:rPr>
          <w:rFonts w:cstheme="minorHAnsi"/>
        </w:rPr>
        <w:t>nn</w:t>
      </w:r>
      <w:r w:rsidR="00954E49" w:rsidRPr="00BE5B67">
        <w:rPr>
          <w:rFonts w:cstheme="minorHAnsi"/>
        </w:rPr>
        <w:t>een ihon okasolunsyövän hoidossa</w:t>
      </w:r>
      <w:r w:rsidR="00240101" w:rsidRPr="00BE5B67">
        <w:rPr>
          <w:rFonts w:cstheme="minorHAnsi"/>
        </w:rPr>
        <w:t xml:space="preserve"> käytetään solusalpaaja lääkehoitoja</w:t>
      </w:r>
      <w:r w:rsidR="00954E49" w:rsidRPr="00BE5B67">
        <w:rPr>
          <w:rFonts w:cstheme="minorHAnsi"/>
        </w:rPr>
        <w:t xml:space="preserve">. </w:t>
      </w:r>
      <w:r w:rsidRPr="00BE5B67">
        <w:rPr>
          <w:rFonts w:cstheme="minorHAnsi"/>
          <w:lang w:eastAsia="fi-FI"/>
        </w:rPr>
        <w:t xml:space="preserve">Esimerkiksi platinapohjaista solunsalpaajahoitoa on käytetty. </w:t>
      </w:r>
      <w:r w:rsidR="00837146">
        <w:rPr>
          <w:rFonts w:cstheme="minorHAnsi"/>
          <w:lang w:eastAsia="fi-FI"/>
        </w:rPr>
        <w:t xml:space="preserve">Niillä on osoitettu tehoa, mutta vasteen kesto on ollut lyhyehkö. </w:t>
      </w:r>
      <w:r w:rsidR="00A52766" w:rsidRPr="00BE5B67">
        <w:rPr>
          <w:rFonts w:cstheme="minorHAnsi"/>
          <w:lang w:eastAsia="fi-FI"/>
        </w:rPr>
        <w:t xml:space="preserve">Kontrolloimattomissa tutkimuksissa on tutkittu </w:t>
      </w:r>
      <w:r w:rsidR="00A676FA" w:rsidRPr="00BE5B67">
        <w:rPr>
          <w:rFonts w:cstheme="minorHAnsi"/>
          <w:lang w:eastAsia="fi-FI"/>
        </w:rPr>
        <w:t xml:space="preserve">pienillä potilasryhmillä </w:t>
      </w:r>
      <w:r w:rsidR="00A52766" w:rsidRPr="00BE5B67">
        <w:rPr>
          <w:rFonts w:cstheme="minorHAnsi"/>
          <w:lang w:eastAsia="fi-FI"/>
        </w:rPr>
        <w:t>epidermaalisen kasvutekijän reseptorin (EGFR) estäjiä erlo</w:t>
      </w:r>
      <w:r w:rsidR="00A676FA" w:rsidRPr="00BE5B67">
        <w:rPr>
          <w:rFonts w:cstheme="minorHAnsi"/>
          <w:lang w:eastAsia="fi-FI"/>
        </w:rPr>
        <w:t>tinibia ja gefinit</w:t>
      </w:r>
      <w:r w:rsidR="00A52766" w:rsidRPr="00BE5B67">
        <w:rPr>
          <w:rFonts w:cstheme="minorHAnsi"/>
          <w:lang w:eastAsia="fi-FI"/>
        </w:rPr>
        <w:t>inibia</w:t>
      </w:r>
      <w:r w:rsidR="00A676FA" w:rsidRPr="00BE5B67">
        <w:rPr>
          <w:rFonts w:cstheme="minorHAnsi"/>
          <w:lang w:eastAsia="fi-FI"/>
        </w:rPr>
        <w:t xml:space="preserve"> sekä EGFR-vasta-ainetta setuksimabia, mutta niillä ei ole </w:t>
      </w:r>
      <w:r w:rsidR="008F43DE" w:rsidRPr="00BE5B67">
        <w:rPr>
          <w:rFonts w:cstheme="minorHAnsi"/>
          <w:lang w:eastAsia="fi-FI"/>
        </w:rPr>
        <w:t xml:space="preserve">hyväksyttyä </w:t>
      </w:r>
      <w:r w:rsidR="00A676FA" w:rsidRPr="00BE5B67">
        <w:rPr>
          <w:rFonts w:cstheme="minorHAnsi"/>
          <w:lang w:eastAsia="fi-FI"/>
        </w:rPr>
        <w:t>käyttöaihetta ihon okasolusyövän hoitoon</w:t>
      </w:r>
      <w:r w:rsidR="00F31DB5" w:rsidRPr="00BE5B67">
        <w:rPr>
          <w:rFonts w:cstheme="minorHAnsi"/>
          <w:lang w:eastAsia="fi-FI"/>
        </w:rPr>
        <w:t>.</w:t>
      </w:r>
      <w:r w:rsidR="00837146" w:rsidRPr="00837146">
        <w:rPr>
          <w:rFonts w:ascii="Scala Sans" w:hAnsi="Scala Sans"/>
          <w:color w:val="333333"/>
        </w:rPr>
        <w:t xml:space="preserve"> </w:t>
      </w:r>
      <w:r w:rsidR="00837146" w:rsidRPr="001B50D4">
        <w:rPr>
          <w:rFonts w:cstheme="minorHAnsi"/>
          <w:color w:val="333333"/>
        </w:rPr>
        <w:t>Et</w:t>
      </w:r>
      <w:r w:rsidR="00837146" w:rsidRPr="001B50D4">
        <w:rPr>
          <w:rFonts w:cstheme="minorHAnsi" w:hint="eastAsia"/>
          <w:color w:val="333333"/>
        </w:rPr>
        <w:t>ä</w:t>
      </w:r>
      <w:r w:rsidR="00837146" w:rsidRPr="001B50D4">
        <w:rPr>
          <w:rFonts w:cstheme="minorHAnsi"/>
          <w:color w:val="333333"/>
        </w:rPr>
        <w:t>pes</w:t>
      </w:r>
      <w:r w:rsidR="00837146" w:rsidRPr="001B50D4">
        <w:rPr>
          <w:rFonts w:cstheme="minorHAnsi" w:hint="eastAsia"/>
          <w:color w:val="333333"/>
        </w:rPr>
        <w:t>ä</w:t>
      </w:r>
      <w:r w:rsidR="00837146" w:rsidRPr="001B50D4">
        <w:rPr>
          <w:rFonts w:cstheme="minorHAnsi"/>
          <w:color w:val="333333"/>
        </w:rPr>
        <w:t>kkeit</w:t>
      </w:r>
      <w:r w:rsidR="00837146" w:rsidRPr="001B50D4">
        <w:rPr>
          <w:rFonts w:cstheme="minorHAnsi" w:hint="eastAsia"/>
          <w:color w:val="333333"/>
        </w:rPr>
        <w:t>ä</w:t>
      </w:r>
      <w:r w:rsidR="00837146" w:rsidRPr="001B50D4">
        <w:rPr>
          <w:rFonts w:cstheme="minorHAnsi"/>
          <w:color w:val="333333"/>
        </w:rPr>
        <w:t xml:space="preserve"> l</w:t>
      </w:r>
      <w:r w:rsidR="00837146" w:rsidRPr="001B50D4">
        <w:rPr>
          <w:rFonts w:cstheme="minorHAnsi" w:hint="eastAsia"/>
          <w:color w:val="333333"/>
        </w:rPr>
        <w:t>ä</w:t>
      </w:r>
      <w:r w:rsidR="00837146" w:rsidRPr="001B50D4">
        <w:rPr>
          <w:rFonts w:cstheme="minorHAnsi"/>
          <w:color w:val="333333"/>
        </w:rPr>
        <w:t>hett</w:t>
      </w:r>
      <w:r w:rsidR="00837146" w:rsidRPr="001B50D4">
        <w:rPr>
          <w:rFonts w:cstheme="minorHAnsi" w:hint="eastAsia"/>
          <w:color w:val="333333"/>
        </w:rPr>
        <w:t>ä</w:t>
      </w:r>
      <w:r w:rsidR="00837146" w:rsidRPr="001B50D4">
        <w:rPr>
          <w:rFonts w:cstheme="minorHAnsi"/>
          <w:color w:val="333333"/>
        </w:rPr>
        <w:t>nytt</w:t>
      </w:r>
      <w:r w:rsidR="00837146" w:rsidRPr="001B50D4">
        <w:rPr>
          <w:rFonts w:cstheme="minorHAnsi" w:hint="eastAsia"/>
          <w:color w:val="333333"/>
        </w:rPr>
        <w:t>ä</w:t>
      </w:r>
      <w:r w:rsidR="00837146" w:rsidRPr="001B50D4">
        <w:rPr>
          <w:rFonts w:cstheme="minorHAnsi"/>
          <w:color w:val="333333"/>
        </w:rPr>
        <w:t xml:space="preserve"> okasolusy</w:t>
      </w:r>
      <w:r w:rsidR="00837146" w:rsidRPr="001B50D4">
        <w:rPr>
          <w:rFonts w:cstheme="minorHAnsi" w:hint="eastAsia"/>
          <w:color w:val="333333"/>
        </w:rPr>
        <w:t>ö</w:t>
      </w:r>
      <w:r w:rsidR="00837146" w:rsidRPr="001B50D4">
        <w:rPr>
          <w:rFonts w:cstheme="minorHAnsi"/>
          <w:color w:val="333333"/>
        </w:rPr>
        <w:t>p</w:t>
      </w:r>
      <w:r w:rsidR="00837146" w:rsidRPr="001B50D4">
        <w:rPr>
          <w:rFonts w:cstheme="minorHAnsi" w:hint="eastAsia"/>
          <w:color w:val="333333"/>
        </w:rPr>
        <w:t>ää</w:t>
      </w:r>
      <w:r w:rsidR="00837146" w:rsidRPr="001B50D4">
        <w:rPr>
          <w:rFonts w:cstheme="minorHAnsi"/>
          <w:color w:val="333333"/>
        </w:rPr>
        <w:t xml:space="preserve"> sairastavista vajaa puolet on elossa viiden vuoden kuluttua diagnoosista.</w:t>
      </w:r>
    </w:p>
    <w:p w14:paraId="3F747807" w14:textId="63858EF2" w:rsidR="00573D76" w:rsidRDefault="00180655" w:rsidP="00573D76">
      <w:pPr>
        <w:rPr>
          <w:rFonts w:eastAsia="MS PGothic" w:cstheme="minorHAnsi"/>
        </w:rPr>
      </w:pPr>
      <w:r w:rsidRPr="00BE5B67">
        <w:rPr>
          <w:rFonts w:eastAsia="MS PGothic" w:cstheme="minorHAnsi"/>
        </w:rPr>
        <w:t>Fimean arvioima</w:t>
      </w:r>
      <w:r w:rsidR="00930891" w:rsidRPr="00BE5B67">
        <w:rPr>
          <w:rFonts w:eastAsia="MS PGothic" w:cstheme="minorHAnsi"/>
        </w:rPr>
        <w:t>n</w:t>
      </w:r>
      <w:r w:rsidRPr="00BE5B67">
        <w:rPr>
          <w:rFonts w:eastAsia="MS PGothic" w:cstheme="minorHAnsi"/>
        </w:rPr>
        <w:t xml:space="preserve"> </w:t>
      </w:r>
      <w:r w:rsidR="00166903" w:rsidRPr="00BE5B67">
        <w:rPr>
          <w:rFonts w:eastAsia="MS PGothic" w:cstheme="minorHAnsi"/>
        </w:rPr>
        <w:t>semiplimabi</w:t>
      </w:r>
      <w:r w:rsidRPr="00BE5B67">
        <w:rPr>
          <w:rFonts w:eastAsia="MS PGothic" w:cstheme="minorHAnsi"/>
        </w:rPr>
        <w:t>-hoidon päätutkimus oli yksihaarainen</w:t>
      </w:r>
      <w:r w:rsidR="00166903" w:rsidRPr="00BE5B67">
        <w:rPr>
          <w:rFonts w:eastAsia="MS PGothic" w:cstheme="minorHAnsi"/>
        </w:rPr>
        <w:t xml:space="preserve"> kolmen ryhmän kohorttitutkimus</w:t>
      </w:r>
      <w:r w:rsidR="00930891" w:rsidRPr="00BE5B67">
        <w:rPr>
          <w:rFonts w:eastAsia="MS PGothic" w:cstheme="minorHAnsi"/>
        </w:rPr>
        <w:t>,</w:t>
      </w:r>
      <w:r w:rsidRPr="00BE5B67">
        <w:rPr>
          <w:rFonts w:eastAsia="MS PGothic" w:cstheme="minorHAnsi"/>
        </w:rPr>
        <w:t xml:space="preserve"> </w:t>
      </w:r>
      <w:r w:rsidR="00AA120F" w:rsidRPr="00BE5B67">
        <w:rPr>
          <w:rFonts w:cstheme="minorHAnsi"/>
          <w:lang w:eastAsia="fi-FI"/>
        </w:rPr>
        <w:t>johon ei si</w:t>
      </w:r>
      <w:r w:rsidR="00E353A6" w:rsidRPr="00BE5B67">
        <w:rPr>
          <w:rFonts w:cstheme="minorHAnsi"/>
          <w:lang w:eastAsia="fi-FI"/>
        </w:rPr>
        <w:t>s</w:t>
      </w:r>
      <w:r w:rsidR="00AA120F" w:rsidRPr="00BE5B67">
        <w:rPr>
          <w:rFonts w:cstheme="minorHAnsi"/>
          <w:lang w:eastAsia="fi-FI"/>
        </w:rPr>
        <w:t xml:space="preserve">älly vertailuhoitoa, </w:t>
      </w:r>
      <w:r w:rsidR="00930891" w:rsidRPr="00BE5B67">
        <w:rPr>
          <w:rFonts w:eastAsia="MS PGothic" w:cstheme="minorHAnsi"/>
        </w:rPr>
        <w:t>eikä hoidosta toistaiseksi ole käytettävissä satunnaistettuun tutkimusasetelmaan perustuvaa tietoa.</w:t>
      </w:r>
      <w:r w:rsidRPr="00BE5B67">
        <w:rPr>
          <w:rFonts w:eastAsia="MS PGothic" w:cstheme="minorHAnsi"/>
        </w:rPr>
        <w:t xml:space="preserve"> </w:t>
      </w:r>
      <w:r w:rsidR="00930891" w:rsidRPr="00BE5B67">
        <w:rPr>
          <w:rFonts w:eastAsia="MS PGothic" w:cstheme="minorHAnsi"/>
        </w:rPr>
        <w:t xml:space="preserve">Vertailuhaaran puuttumisen vuoksi </w:t>
      </w:r>
      <w:r w:rsidR="00166903" w:rsidRPr="00BE5B67">
        <w:rPr>
          <w:rFonts w:eastAsia="MS PGothic" w:cstheme="minorHAnsi"/>
        </w:rPr>
        <w:t>semiplimabi</w:t>
      </w:r>
      <w:r w:rsidR="00930891" w:rsidRPr="00BE5B67">
        <w:rPr>
          <w:rFonts w:eastAsia="MS PGothic" w:cstheme="minorHAnsi"/>
        </w:rPr>
        <w:t>-hoidon vertaaminen muiden hoitoi</w:t>
      </w:r>
      <w:r w:rsidR="00E61842" w:rsidRPr="00BE5B67">
        <w:rPr>
          <w:rFonts w:eastAsia="MS PGothic" w:cstheme="minorHAnsi"/>
        </w:rPr>
        <w:t>hin on vaikeaa ja siihen liittyy useita epävarmuustekijöitä</w:t>
      </w:r>
      <w:r w:rsidR="004B2892" w:rsidRPr="00BE5B67">
        <w:rPr>
          <w:rFonts w:eastAsia="MS PGothic" w:cstheme="minorHAnsi"/>
        </w:rPr>
        <w:t>.</w:t>
      </w:r>
    </w:p>
    <w:p w14:paraId="15C9C477" w14:textId="77777777" w:rsidR="00B1751A" w:rsidRPr="00BE5B67" w:rsidRDefault="00B1751A" w:rsidP="00573D76">
      <w:pPr>
        <w:rPr>
          <w:rFonts w:eastAsia="MS PGothic" w:cstheme="minorHAnsi"/>
        </w:rPr>
      </w:pPr>
    </w:p>
    <w:p w14:paraId="5E012CD0" w14:textId="77777777" w:rsidR="00A44503" w:rsidRPr="00EA21C7" w:rsidRDefault="00A44503" w:rsidP="002B5984">
      <w:pPr>
        <w:pStyle w:val="Otsikko2"/>
        <w:rPr>
          <w:rFonts w:asciiTheme="minorHAnsi" w:hAnsiTheme="minorHAnsi" w:cstheme="minorHAnsi"/>
        </w:rPr>
      </w:pPr>
      <w:bookmarkStart w:id="8" w:name="_Toc15543599"/>
      <w:bookmarkStart w:id="9" w:name="_Toc478461281"/>
      <w:r w:rsidRPr="00EA21C7">
        <w:rPr>
          <w:rFonts w:asciiTheme="minorHAnsi" w:hAnsiTheme="minorHAnsi" w:cstheme="minorHAnsi"/>
        </w:rPr>
        <w:t>Vaikuttavuus ja turvallisuus sekä niihin liittyvät epävarmuustekijät</w:t>
      </w:r>
      <w:bookmarkEnd w:id="8"/>
      <w:r w:rsidRPr="00EA21C7">
        <w:rPr>
          <w:rFonts w:asciiTheme="minorHAnsi" w:hAnsiTheme="minorHAnsi" w:cstheme="minorHAnsi"/>
        </w:rPr>
        <w:t xml:space="preserve"> </w:t>
      </w:r>
    </w:p>
    <w:bookmarkEnd w:id="9"/>
    <w:p w14:paraId="5CC3E5F5" w14:textId="0321421B" w:rsidR="00BB4D6E" w:rsidRPr="00EA21C7" w:rsidRDefault="00BB4D6E" w:rsidP="007261DE">
      <w:pPr>
        <w:rPr>
          <w:rFonts w:cstheme="minorHAnsi"/>
          <w:b/>
        </w:rPr>
      </w:pPr>
    </w:p>
    <w:p w14:paraId="0D69017A" w14:textId="6C2F44DE" w:rsidR="00166903" w:rsidRPr="0026220A" w:rsidRDefault="005066F1" w:rsidP="002E15E1">
      <w:pPr>
        <w:rPr>
          <w:rFonts w:cstheme="minorHAnsi"/>
        </w:rPr>
      </w:pPr>
      <w:r w:rsidRPr="0026220A">
        <w:rPr>
          <w:rFonts w:cstheme="minorHAnsi"/>
        </w:rPr>
        <w:t>Tutkimu</w:t>
      </w:r>
      <w:r w:rsidR="007572A3" w:rsidRPr="0026220A">
        <w:rPr>
          <w:rFonts w:cstheme="minorHAnsi"/>
        </w:rPr>
        <w:t>s</w:t>
      </w:r>
      <w:r w:rsidRPr="0026220A">
        <w:rPr>
          <w:rFonts w:cstheme="minorHAnsi"/>
        </w:rPr>
        <w:t xml:space="preserve">tieto </w:t>
      </w:r>
      <w:r w:rsidR="00166903" w:rsidRPr="0026220A">
        <w:rPr>
          <w:rFonts w:cstheme="minorHAnsi"/>
        </w:rPr>
        <w:t>semiplimabi</w:t>
      </w:r>
      <w:r w:rsidR="002E15E1" w:rsidRPr="0026220A">
        <w:rPr>
          <w:rFonts w:cstheme="minorHAnsi"/>
        </w:rPr>
        <w:t xml:space="preserve">-lääkkeen tehosta ja turvallisuudesta </w:t>
      </w:r>
      <w:r w:rsidR="00166903" w:rsidRPr="0026220A">
        <w:rPr>
          <w:rFonts w:cstheme="minorHAnsi"/>
        </w:rPr>
        <w:t>edenneen ihon okasolusyövän hoidossa</w:t>
      </w:r>
      <w:r w:rsidR="002E15E1" w:rsidRPr="0026220A">
        <w:rPr>
          <w:rFonts w:cstheme="minorHAnsi"/>
        </w:rPr>
        <w:t xml:space="preserve"> perustuu ensisijaisesti yhteen faasin </w:t>
      </w:r>
      <w:r w:rsidR="004758E4" w:rsidRPr="0026220A">
        <w:rPr>
          <w:rFonts w:cstheme="minorHAnsi"/>
        </w:rPr>
        <w:t>II</w:t>
      </w:r>
      <w:r w:rsidR="002E15E1" w:rsidRPr="0026220A">
        <w:rPr>
          <w:rFonts w:cstheme="minorHAnsi"/>
        </w:rPr>
        <w:t xml:space="preserve"> yksihaaraiseen </w:t>
      </w:r>
      <w:r w:rsidR="00166903" w:rsidRPr="0026220A">
        <w:rPr>
          <w:rFonts w:cstheme="minorHAnsi"/>
        </w:rPr>
        <w:t>tutkimukseen</w:t>
      </w:r>
      <w:r w:rsidR="002E15E1" w:rsidRPr="0026220A">
        <w:rPr>
          <w:rFonts w:cstheme="minorHAnsi"/>
        </w:rPr>
        <w:t xml:space="preserve"> (</w:t>
      </w:r>
      <w:r w:rsidR="00166903" w:rsidRPr="0026220A">
        <w:rPr>
          <w:rFonts w:cstheme="minorHAnsi"/>
        </w:rPr>
        <w:t>tutkimus 1540</w:t>
      </w:r>
      <w:r w:rsidR="00AF03C4" w:rsidRPr="0026220A">
        <w:rPr>
          <w:rFonts w:cstheme="minorHAnsi"/>
        </w:rPr>
        <w:t>, tunnetaan myös nimellä EMPOWER-CSCC-1</w:t>
      </w:r>
      <w:r w:rsidR="00166903" w:rsidRPr="0026220A">
        <w:rPr>
          <w:rFonts w:cstheme="minorHAnsi"/>
        </w:rPr>
        <w:t>)</w:t>
      </w:r>
      <w:r w:rsidR="002E15E1" w:rsidRPr="0026220A">
        <w:rPr>
          <w:rFonts w:cstheme="minorHAnsi"/>
        </w:rPr>
        <w:t>.</w:t>
      </w:r>
      <w:r w:rsidR="00C73402" w:rsidRPr="0026220A">
        <w:rPr>
          <w:rFonts w:cstheme="minorHAnsi"/>
        </w:rPr>
        <w:t xml:space="preserve"> Tutkimukseen otettiin</w:t>
      </w:r>
      <w:r w:rsidR="000502F8" w:rsidRPr="0026220A">
        <w:rPr>
          <w:rFonts w:cstheme="minorHAnsi"/>
        </w:rPr>
        <w:t xml:space="preserve"> mukaan</w:t>
      </w:r>
      <w:r w:rsidR="00C73402" w:rsidRPr="0026220A">
        <w:rPr>
          <w:rFonts w:cstheme="minorHAnsi"/>
        </w:rPr>
        <w:t xml:space="preserve"> </w:t>
      </w:r>
      <w:r w:rsidR="00166903" w:rsidRPr="0026220A">
        <w:rPr>
          <w:rFonts w:cstheme="minorHAnsi"/>
        </w:rPr>
        <w:t>potilaita, joilla</w:t>
      </w:r>
      <w:r w:rsidR="00B36087" w:rsidRPr="0026220A">
        <w:rPr>
          <w:rFonts w:cstheme="minorHAnsi"/>
        </w:rPr>
        <w:t xml:space="preserve"> </w:t>
      </w:r>
      <w:r w:rsidR="00166903" w:rsidRPr="0026220A">
        <w:rPr>
          <w:rFonts w:cstheme="minorHAnsi"/>
        </w:rPr>
        <w:t>oli paikallisesti edennyt tai etäpesäkkeinen ihon okasolusyöpä</w:t>
      </w:r>
      <w:r w:rsidR="00B36087" w:rsidRPr="0026220A">
        <w:rPr>
          <w:rFonts w:cstheme="minorHAnsi"/>
        </w:rPr>
        <w:t xml:space="preserve"> eikä potilas soveltunut parantavaan leikkaukseen tai parantavaan sädehoitoon. Potilaiden tuli olla hyväkuntoisia (ECOG 0-1) eikä heillä saanut olla autoimmuunisairauksia tai immunosuppressiivista lääkitystä</w:t>
      </w:r>
      <w:r w:rsidR="00E61842" w:rsidRPr="0026220A">
        <w:rPr>
          <w:rFonts w:cstheme="minorHAnsi"/>
        </w:rPr>
        <w:t>.</w:t>
      </w:r>
    </w:p>
    <w:p w14:paraId="2DF1AAC0" w14:textId="4B2992F7" w:rsidR="00930891" w:rsidRPr="0026220A" w:rsidRDefault="00166903" w:rsidP="002E15E1">
      <w:pPr>
        <w:rPr>
          <w:rFonts w:cstheme="minorHAnsi"/>
        </w:rPr>
      </w:pPr>
      <w:r w:rsidRPr="0026220A">
        <w:rPr>
          <w:rFonts w:cstheme="minorHAnsi"/>
        </w:rPr>
        <w:t>Tutkimuksessa oli kolme eri kohorttia:</w:t>
      </w:r>
    </w:p>
    <w:p w14:paraId="37067F2A" w14:textId="77777777" w:rsidR="00B36087" w:rsidRPr="0026220A" w:rsidRDefault="00B36087" w:rsidP="00B36087">
      <w:pPr>
        <w:pStyle w:val="Luettelokappale"/>
        <w:numPr>
          <w:ilvl w:val="0"/>
          <w:numId w:val="10"/>
        </w:numPr>
        <w:rPr>
          <w:rFonts w:cstheme="minorHAnsi"/>
        </w:rPr>
      </w:pPr>
      <w:r w:rsidRPr="0026220A">
        <w:rPr>
          <w:rFonts w:cstheme="minorHAnsi"/>
        </w:rPr>
        <w:t>Kohortti 1 (N = 59) käsittää etäpesäkkeistä tautia sairastavat potilaat, jotka saivat semiplimabia 3 mg/kg joka toinen viikko enintään 96 viikon ajan.</w:t>
      </w:r>
    </w:p>
    <w:p w14:paraId="0B4A8170" w14:textId="77777777" w:rsidR="00B36087" w:rsidRPr="0026220A" w:rsidRDefault="00B36087" w:rsidP="00B36087">
      <w:pPr>
        <w:pStyle w:val="Luettelokappale"/>
        <w:numPr>
          <w:ilvl w:val="0"/>
          <w:numId w:val="10"/>
        </w:numPr>
        <w:rPr>
          <w:rFonts w:cstheme="minorHAnsi"/>
        </w:rPr>
      </w:pPr>
      <w:r w:rsidRPr="0026220A">
        <w:rPr>
          <w:rFonts w:cstheme="minorHAnsi"/>
        </w:rPr>
        <w:t xml:space="preserve">Kohortti 2 (N = 78) käsittää paikallisesti edennyttä okasolusyöpää sairastavat potilaat, jotka saivat semiplimabia 3 mg/kg joka toinen viikko enintään 96 viikon ajan. </w:t>
      </w:r>
    </w:p>
    <w:p w14:paraId="14F7F24A" w14:textId="76C92382" w:rsidR="00B36087" w:rsidRPr="0026220A" w:rsidRDefault="00B36087" w:rsidP="00B36087">
      <w:pPr>
        <w:pStyle w:val="Luettelokappale"/>
        <w:numPr>
          <w:ilvl w:val="0"/>
          <w:numId w:val="10"/>
        </w:numPr>
        <w:rPr>
          <w:rFonts w:cstheme="minorHAnsi"/>
        </w:rPr>
      </w:pPr>
      <w:r w:rsidRPr="0026220A">
        <w:rPr>
          <w:rFonts w:cstheme="minorHAnsi"/>
        </w:rPr>
        <w:t>Kohortti 3 (N = 56) käsittää etäpesäkkeistä okasolusyöpää sairastavat potilaat, jotka saivat semiplimabia kiinteän 350 mg annoksen joka kolmas viikko enintään 54 viikon ajan.</w:t>
      </w:r>
      <w:r w:rsidR="00A55250" w:rsidRPr="0026220A">
        <w:rPr>
          <w:rFonts w:cstheme="minorHAnsi"/>
        </w:rPr>
        <w:t xml:space="preserve"> Tämä ryhmän annostelu vastaa myyntiluvan saaneen valmisteen annostelua.</w:t>
      </w:r>
    </w:p>
    <w:p w14:paraId="181CF448" w14:textId="6B9661E6" w:rsidR="00B36087" w:rsidRPr="0026220A" w:rsidRDefault="00B36087" w:rsidP="002E15E1">
      <w:pPr>
        <w:rPr>
          <w:rFonts w:cstheme="minorHAnsi"/>
        </w:rPr>
      </w:pPr>
      <w:r w:rsidRPr="0026220A">
        <w:rPr>
          <w:rFonts w:cstheme="minorHAnsi"/>
        </w:rPr>
        <w:t>1540-t</w:t>
      </w:r>
      <w:r w:rsidR="002E15E1" w:rsidRPr="0026220A">
        <w:rPr>
          <w:rFonts w:cstheme="minorHAnsi"/>
        </w:rPr>
        <w:t>utkimukse</w:t>
      </w:r>
      <w:r w:rsidR="00AE2840" w:rsidRPr="0026220A">
        <w:rPr>
          <w:rFonts w:cstheme="minorHAnsi"/>
        </w:rPr>
        <w:t xml:space="preserve">n päävastemuuttujana oli </w:t>
      </w:r>
      <w:r w:rsidRPr="0026220A">
        <w:rPr>
          <w:rFonts w:cstheme="minorHAnsi"/>
        </w:rPr>
        <w:t>vahvistettu hoitovasteosuus (ORR), jonka määritti riippumaton arvioijataho. Niiden potilaiden kohdalla, joilla oli etäpesäkkeinen ihon okasolusyöpä ilman ulkoisia näkyviä</w:t>
      </w:r>
      <w:r w:rsidR="00DA5A4B">
        <w:rPr>
          <w:rFonts w:cstheme="minorHAnsi"/>
        </w:rPr>
        <w:t xml:space="preserve"> </w:t>
      </w:r>
      <w:r w:rsidR="00370909">
        <w:rPr>
          <w:rFonts w:cstheme="minorHAnsi"/>
        </w:rPr>
        <w:t>kasvaimia</w:t>
      </w:r>
      <w:r w:rsidRPr="0026220A">
        <w:rPr>
          <w:rFonts w:cstheme="minorHAnsi"/>
        </w:rPr>
        <w:t xml:space="preserve">, hoitovasteosuus määritettiin </w:t>
      </w:r>
      <w:r w:rsidR="00D51EBB" w:rsidRPr="0026220A">
        <w:rPr>
          <w:rFonts w:cstheme="minorHAnsi"/>
        </w:rPr>
        <w:t xml:space="preserve">kiinteiden kasvainten </w:t>
      </w:r>
      <w:r w:rsidRPr="0026220A">
        <w:rPr>
          <w:rFonts w:cstheme="minorHAnsi"/>
        </w:rPr>
        <w:t>RECIST 1.1 -</w:t>
      </w:r>
      <w:r w:rsidR="00D51EBB" w:rsidRPr="0026220A">
        <w:rPr>
          <w:rFonts w:cstheme="minorHAnsi"/>
        </w:rPr>
        <w:t>arviointi</w:t>
      </w:r>
      <w:r w:rsidRPr="0026220A">
        <w:rPr>
          <w:rFonts w:cstheme="minorHAnsi"/>
        </w:rPr>
        <w:t>kriteerien (Response Evaluation Criteria in Solid Tumours)</w:t>
      </w:r>
      <w:r w:rsidR="00773CCB" w:rsidRPr="0026220A">
        <w:rPr>
          <w:rFonts w:cstheme="minorHAnsi"/>
        </w:rPr>
        <w:t xml:space="preserve"> (Eisenhauer ym. 2009)</w:t>
      </w:r>
      <w:r w:rsidRPr="0026220A">
        <w:rPr>
          <w:rFonts w:cstheme="minorHAnsi"/>
        </w:rPr>
        <w:t xml:space="preserve"> mukaisesti. Niiden potilaiden kohdalla, joilla oli ulkoisia näkyviä</w:t>
      </w:r>
      <w:r w:rsidR="00DA5A4B">
        <w:rPr>
          <w:rFonts w:cstheme="minorHAnsi"/>
        </w:rPr>
        <w:t xml:space="preserve"> </w:t>
      </w:r>
      <w:r w:rsidR="00370909">
        <w:rPr>
          <w:rFonts w:cstheme="minorHAnsi"/>
        </w:rPr>
        <w:t>kasvaimia</w:t>
      </w:r>
      <w:r w:rsidRPr="0026220A">
        <w:rPr>
          <w:rFonts w:cstheme="minorHAnsi"/>
        </w:rPr>
        <w:t xml:space="preserve">, ORR määritettiin käyttämällä yhdistelmäpäätemuuttujaa, joka sisälsi </w:t>
      </w:r>
      <w:r w:rsidR="004E1E2F" w:rsidRPr="0026220A">
        <w:t>riippumattoman keskitetyn arvioitsijatahon arvioimat radiologiset tiedot (RECIST 1.1)</w:t>
      </w:r>
      <w:r w:rsidR="004E3DCE">
        <w:t xml:space="preserve"> </w:t>
      </w:r>
      <w:r w:rsidR="004E1E2F" w:rsidRPr="0026220A">
        <w:t>ja digitaaliset lääketieteelliset valokuvat</w:t>
      </w:r>
      <w:r w:rsidR="004E3DCE">
        <w:t xml:space="preserve"> </w:t>
      </w:r>
      <w:r w:rsidR="004E1E2F" w:rsidRPr="0026220A">
        <w:t>(WHO:n kriteerit)</w:t>
      </w:r>
      <w:r w:rsidRPr="0026220A">
        <w:rPr>
          <w:rFonts w:cstheme="minorHAnsi"/>
        </w:rPr>
        <w:t>.</w:t>
      </w:r>
    </w:p>
    <w:p w14:paraId="5703D6EB" w14:textId="77777777" w:rsidR="004E3DCE" w:rsidRDefault="00EA223F" w:rsidP="002E15E1">
      <w:pPr>
        <w:rPr>
          <w:rFonts w:cstheme="minorHAnsi"/>
        </w:rPr>
      </w:pPr>
      <w:r w:rsidRPr="0026220A">
        <w:rPr>
          <w:rFonts w:cstheme="minorHAnsi"/>
        </w:rPr>
        <w:t xml:space="preserve"> </w:t>
      </w:r>
    </w:p>
    <w:p w14:paraId="05D30C70" w14:textId="0D4CD13D" w:rsidR="00B36087" w:rsidRPr="0026220A" w:rsidRDefault="00EA223F" w:rsidP="002E15E1">
      <w:pPr>
        <w:rPr>
          <w:rFonts w:cstheme="minorHAnsi"/>
        </w:rPr>
      </w:pPr>
      <w:r w:rsidRPr="0026220A">
        <w:rPr>
          <w:rFonts w:cstheme="minorHAnsi"/>
        </w:rPr>
        <w:lastRenderedPageBreak/>
        <w:t>Seuranta-ajan mediaanit vaihtelivat 8,1 kuukaudesta (kohortti 3) 16,5 kuukauteen (kohotti 1). T</w:t>
      </w:r>
      <w:r w:rsidR="00B36087" w:rsidRPr="0026220A">
        <w:rPr>
          <w:rFonts w:cstheme="minorHAnsi"/>
        </w:rPr>
        <w:t xml:space="preserve">äydellisen hoitovasteen saavutti 11 % koko tutkimuspopulaatiosta ja osittaisen vasteen 33% potilaista. </w:t>
      </w:r>
      <w:r w:rsidR="002D7886" w:rsidRPr="0026220A">
        <w:rPr>
          <w:rFonts w:cstheme="minorHAnsi"/>
        </w:rPr>
        <w:t>Vasteen saavuttaneita oli vähiten (39%) kohortissa 3, jonka annostelu oli kiin</w:t>
      </w:r>
      <w:r w:rsidR="00F816BF" w:rsidRPr="0026220A">
        <w:rPr>
          <w:rFonts w:cstheme="minorHAnsi"/>
        </w:rPr>
        <w:t>teä, ku</w:t>
      </w:r>
      <w:r w:rsidR="002D7886" w:rsidRPr="0026220A">
        <w:rPr>
          <w:rFonts w:cstheme="minorHAnsi"/>
        </w:rPr>
        <w:t xml:space="preserve">ten myyntiluvan saaneessa valmisteessa. </w:t>
      </w:r>
      <w:r w:rsidR="00B36087" w:rsidRPr="0026220A">
        <w:rPr>
          <w:rFonts w:cstheme="minorHAnsi"/>
        </w:rPr>
        <w:t>Vaste säilyi vähintään 6 kuukautta 75 %:lla vasteen saaneista potilaista. Vasteen keston mediaania ei toistaiseksi ole saavutettu tässä tutkimuksessa.</w:t>
      </w:r>
    </w:p>
    <w:p w14:paraId="0F73C635" w14:textId="3BEE505C" w:rsidR="006623A3" w:rsidRPr="0026220A" w:rsidRDefault="006623A3" w:rsidP="002E15E1">
      <w:pPr>
        <w:rPr>
          <w:rFonts w:cstheme="minorHAnsi"/>
        </w:rPr>
      </w:pPr>
      <w:r w:rsidRPr="0026220A">
        <w:rPr>
          <w:rFonts w:cstheme="minorHAnsi"/>
        </w:rPr>
        <w:t xml:space="preserve">Kokonaiselossaoloajan mediaania ei ole saavutettu. Koko tutkimuspopulaation (n = 193) potilaista 86 % oli elossa 12 kuukauden kohdalla. </w:t>
      </w:r>
      <w:r w:rsidR="00CB1D25" w:rsidRPr="0026220A">
        <w:rPr>
          <w:rFonts w:cstheme="minorHAnsi"/>
        </w:rPr>
        <w:t xml:space="preserve"> </w:t>
      </w:r>
      <w:r w:rsidR="00AB1D52">
        <w:rPr>
          <w:rFonts w:cstheme="minorHAnsi"/>
        </w:rPr>
        <w:t xml:space="preserve">Yhdysvaltalaisessa pään ja kaulan alueen ihon okasolusyöpään immunokompetentti- tai immunosuppressiivista hoitoa saaneista (n=72) 43% oli elossa 12 kuukauden kohdalla (Sun ym. 2019). </w:t>
      </w:r>
      <w:r w:rsidR="00CB1D25" w:rsidRPr="0026220A">
        <w:rPr>
          <w:rFonts w:cstheme="minorHAnsi"/>
        </w:rPr>
        <w:t xml:space="preserve"> </w:t>
      </w:r>
      <w:r w:rsidRPr="0026220A">
        <w:rPr>
          <w:rFonts w:cstheme="minorHAnsi"/>
        </w:rPr>
        <w:t>Mediaanielossaoloaika ennen taudin etenemistä (PFS) oli 18,4 kuukautta. Yhden vuoden PFS-osuus oli 53 %, eli vuoden kohdalla noin puolet potilaista oli elossa eikä heidän tautinsa ollut edennyt.</w:t>
      </w:r>
      <w:r w:rsidR="002D7886" w:rsidRPr="0026220A">
        <w:rPr>
          <w:rFonts w:cstheme="minorHAnsi"/>
        </w:rPr>
        <w:t xml:space="preserve"> Kiinteän annostelun ryhmässä (kohortti 3) </w:t>
      </w:r>
      <w:r w:rsidR="00203DA9" w:rsidRPr="0026220A">
        <w:rPr>
          <w:rFonts w:cstheme="minorHAnsi"/>
        </w:rPr>
        <w:t xml:space="preserve">elossa oli vuoden kohdalla 76% ja </w:t>
      </w:r>
      <w:r w:rsidR="002D7886" w:rsidRPr="0026220A">
        <w:rPr>
          <w:rFonts w:cstheme="minorHAnsi"/>
        </w:rPr>
        <w:t>PFS-osuus oli 45%.</w:t>
      </w:r>
    </w:p>
    <w:p w14:paraId="5F079712" w14:textId="10AE6CCA" w:rsidR="00837146" w:rsidRPr="0026220A" w:rsidRDefault="00E61842" w:rsidP="00837146">
      <w:pPr>
        <w:rPr>
          <w:rFonts w:cstheme="minorHAnsi"/>
        </w:rPr>
      </w:pPr>
      <w:r w:rsidRPr="0026220A">
        <w:rPr>
          <w:rFonts w:cstheme="minorHAnsi"/>
        </w:rPr>
        <w:t xml:space="preserve">Alaryhmäanalyysien perusteella ei havaittu sellaisia eroja, joiden mukaan semiplimabi-hoitoa voitaisiin kohdentaa siitä eniten hyötyville potilaille. </w:t>
      </w:r>
      <w:r w:rsidR="00F816BF" w:rsidRPr="0026220A">
        <w:rPr>
          <w:rFonts w:cstheme="minorHAnsi"/>
        </w:rPr>
        <w:t>Tuloksissa oli viitteitä siitä, että hoitotulokset olivat parempia niillä potilailla</w:t>
      </w:r>
      <w:r w:rsidR="007572A3" w:rsidRPr="0026220A">
        <w:rPr>
          <w:rFonts w:cstheme="minorHAnsi"/>
        </w:rPr>
        <w:t>,</w:t>
      </w:r>
      <w:r w:rsidR="00F816BF" w:rsidRPr="0026220A">
        <w:rPr>
          <w:rFonts w:cstheme="minorHAnsi"/>
        </w:rPr>
        <w:t xml:space="preserve"> joilla oli korkea (&gt;1%) PD-L1-pitoisuus. </w:t>
      </w:r>
      <w:r w:rsidRPr="0026220A">
        <w:rPr>
          <w:rFonts w:cstheme="minorHAnsi"/>
        </w:rPr>
        <w:t>Useisiin alaryhmäanalyysejä koskeviin kysymyksiin ei kuitenkaan olemassa olevalla tutkimusnäytöllä kyetty vielä vastaamaan ja asiaan on tarkoitus palata, kun lisänäyttöä saadaan kerättyä.</w:t>
      </w:r>
      <w:r w:rsidR="00DA5A4B">
        <w:rPr>
          <w:rFonts w:cstheme="minorHAnsi"/>
        </w:rPr>
        <w:t xml:space="preserve"> </w:t>
      </w:r>
      <w:r w:rsidR="00A626ED">
        <w:rPr>
          <w:rFonts w:cstheme="minorHAnsi"/>
        </w:rPr>
        <w:t xml:space="preserve">Elämänlaadussa ei havaittu muutoksia tutkimuksen edetessä paitsi kipuoireita mittaavan kysymyksen osalta. </w:t>
      </w:r>
    </w:p>
    <w:p w14:paraId="48DE0357" w14:textId="4EC0BF68" w:rsidR="00952127" w:rsidRPr="0026220A" w:rsidRDefault="00952127" w:rsidP="002E15E1">
      <w:pPr>
        <w:rPr>
          <w:rFonts w:cstheme="minorHAnsi"/>
        </w:rPr>
      </w:pPr>
      <w:r w:rsidRPr="0026220A">
        <w:rPr>
          <w:rFonts w:cstheme="minorHAnsi"/>
        </w:rPr>
        <w:t>Koska tutkimuksessa ei ollut mukana vertailuryhmää, myyntilupaprosessiin (EPAR 2019) oli lisätty reaalimaailman tietoihin perustuva vertailu. The Dermatologic Cooperative Oncology Group (DeCOG) teki analyysin edenneiden okasolusyöpäpotilaiden hoitotuloksista Itävallasta ja Saksasta reaalimaailman tietoja käyttäen (n=192). Vertailukelpoisia semiplimabin ryhmän kanssa oli vain 30 potilasta. Hoitovasteosuudet olivat parempia semiplimabi kuin DeCOG tutkimuksessa (kokonaisvasteosuus 45% vs. 26%). Myös täydellis</w:t>
      </w:r>
      <w:r w:rsidR="00837146" w:rsidRPr="0026220A">
        <w:rPr>
          <w:rFonts w:cstheme="minorHAnsi"/>
        </w:rPr>
        <w:t>iä</w:t>
      </w:r>
      <w:r w:rsidR="00B1751A" w:rsidRPr="0026220A">
        <w:rPr>
          <w:rFonts w:cstheme="minorHAnsi"/>
        </w:rPr>
        <w:t xml:space="preserve"> </w:t>
      </w:r>
      <w:r w:rsidRPr="0026220A">
        <w:rPr>
          <w:rFonts w:cstheme="minorHAnsi"/>
        </w:rPr>
        <w:t>hoitovaste</w:t>
      </w:r>
      <w:r w:rsidR="00837146" w:rsidRPr="0026220A">
        <w:rPr>
          <w:rFonts w:cstheme="minorHAnsi"/>
        </w:rPr>
        <w:t>ita</w:t>
      </w:r>
      <w:r w:rsidRPr="0026220A">
        <w:rPr>
          <w:rFonts w:cstheme="minorHAnsi"/>
        </w:rPr>
        <w:t xml:space="preserve"> (</w:t>
      </w:r>
      <w:r w:rsidR="00BE5B67" w:rsidRPr="0026220A">
        <w:rPr>
          <w:rFonts w:cstheme="minorHAnsi"/>
        </w:rPr>
        <w:t xml:space="preserve">havaittiin useammin </w:t>
      </w:r>
      <w:r w:rsidRPr="0026220A">
        <w:rPr>
          <w:rFonts w:cstheme="minorHAnsi"/>
        </w:rPr>
        <w:t>semiplimabi tutkimuksen potilailla</w:t>
      </w:r>
      <w:r w:rsidR="00837146" w:rsidRPr="0026220A">
        <w:rPr>
          <w:rFonts w:cstheme="minorHAnsi"/>
        </w:rPr>
        <w:t xml:space="preserve"> (9,6% vs. 5,1%)</w:t>
      </w:r>
      <w:r w:rsidRPr="0026220A">
        <w:rPr>
          <w:rFonts w:cstheme="minorHAnsi"/>
        </w:rPr>
        <w:t>. Myyntiluvan haltijan suorittama epäsuora vertailu erlotinibiin, setuksimabiin, gefitinibiin, solunsalpaajiin sekä pem</w:t>
      </w:r>
      <w:r w:rsidR="00BE5B67" w:rsidRPr="0026220A">
        <w:rPr>
          <w:rFonts w:cstheme="minorHAnsi"/>
        </w:rPr>
        <w:t>b</w:t>
      </w:r>
      <w:r w:rsidRPr="0026220A">
        <w:rPr>
          <w:rFonts w:cstheme="minorHAnsi"/>
        </w:rPr>
        <w:t>rolitsumabiin ei ollut käytössä suositusta tehtäessä.</w:t>
      </w:r>
    </w:p>
    <w:p w14:paraId="67CF399E" w14:textId="0A53A8E9" w:rsidR="00F816BF" w:rsidRDefault="006623A3" w:rsidP="002E15E1">
      <w:pPr>
        <w:rPr>
          <w:rFonts w:cstheme="minorHAnsi"/>
        </w:rPr>
      </w:pPr>
      <w:r w:rsidRPr="0026220A">
        <w:rPr>
          <w:rFonts w:cstheme="minorHAnsi"/>
        </w:rPr>
        <w:t xml:space="preserve">Semiplimabi-hoidon turvallisuutta on arvioitu faasin I ja faasin II tutkimusten yhdistetyssä aineistossa (tutkimukset 1423 ja 1540), jossa oli yhteensä 219 potilasta. Tämän lisäksi </w:t>
      </w:r>
      <w:r w:rsidR="00837146" w:rsidRPr="0026220A">
        <w:rPr>
          <w:rFonts w:cstheme="minorHAnsi"/>
        </w:rPr>
        <w:t xml:space="preserve">haittavaikutuksia </w:t>
      </w:r>
      <w:r w:rsidRPr="0026220A">
        <w:rPr>
          <w:rFonts w:cstheme="minorHAnsi"/>
        </w:rPr>
        <w:t>on raportoitu 591 potilaan populaatiossa, joka käsitti kaikki semiplimabia kiinteiden syöpäkasvainten (myös muun kuin ihon okasolusyövän) hoitoon kliinisissä kokeissa saaneet potilaat.</w:t>
      </w:r>
      <w:r w:rsidR="001B1F7F" w:rsidRPr="0026220A">
        <w:rPr>
          <w:rFonts w:cstheme="minorHAnsi"/>
        </w:rPr>
        <w:t xml:space="preserve"> Faasien I ja II yhdistetyssä aineistossa</w:t>
      </w:r>
      <w:r w:rsidR="00BA5118" w:rsidRPr="0026220A">
        <w:rPr>
          <w:rFonts w:cstheme="minorHAnsi"/>
        </w:rPr>
        <w:t xml:space="preserve"> </w:t>
      </w:r>
      <w:r w:rsidR="001B1F7F" w:rsidRPr="0026220A">
        <w:rPr>
          <w:rFonts w:cstheme="minorHAnsi"/>
        </w:rPr>
        <w:t xml:space="preserve">35 % potilaista koki </w:t>
      </w:r>
      <w:r w:rsidR="002E4DE5" w:rsidRPr="0026220A">
        <w:rPr>
          <w:rFonts w:cstheme="minorHAnsi"/>
        </w:rPr>
        <w:t xml:space="preserve">hoidon aikana </w:t>
      </w:r>
      <w:r w:rsidR="001B1F7F" w:rsidRPr="0026220A">
        <w:rPr>
          <w:rFonts w:cstheme="minorHAnsi"/>
        </w:rPr>
        <w:t xml:space="preserve">vähintään yhden vakavan haittavaikutuksen. Semiplimabi-hoidon havaitut haittavaikutukset vastasivat tyypillisiä PD-1/PD-L1-immunoterapian yhteydessä raportoituja haittavaikutuksia. Yleisimpiä </w:t>
      </w:r>
      <w:r w:rsidR="00C73CC5" w:rsidRPr="0026220A">
        <w:rPr>
          <w:rFonts w:cstheme="minorHAnsi"/>
        </w:rPr>
        <w:t>semiplimabi-hoidon aikana ilmenneitä (mutta ei välttämättä hoitoon liittyviä)</w:t>
      </w:r>
      <w:r w:rsidR="002E4DE5" w:rsidRPr="0026220A">
        <w:rPr>
          <w:rFonts w:cstheme="minorHAnsi"/>
        </w:rPr>
        <w:t xml:space="preserve"> </w:t>
      </w:r>
      <w:r w:rsidR="001B1F7F" w:rsidRPr="0026220A">
        <w:rPr>
          <w:rFonts w:cstheme="minorHAnsi"/>
        </w:rPr>
        <w:t>asteen 3-5 haittavaikutuksia</w:t>
      </w:r>
      <w:r w:rsidR="00C73CC5" w:rsidRPr="0026220A">
        <w:rPr>
          <w:rFonts w:cstheme="minorHAnsi"/>
        </w:rPr>
        <w:t xml:space="preserve"> </w:t>
      </w:r>
      <w:r w:rsidR="007572A3" w:rsidRPr="0026220A">
        <w:rPr>
          <w:rFonts w:cstheme="minorHAnsi"/>
        </w:rPr>
        <w:t xml:space="preserve">olivat </w:t>
      </w:r>
      <w:r w:rsidR="00C73CC5" w:rsidRPr="0026220A">
        <w:rPr>
          <w:rFonts w:cstheme="minorHAnsi"/>
        </w:rPr>
        <w:t>anemia (5,4 %), uupumus (5,4 %), keuhkoembolia (3,6 %), kuivuminen (3,6 %), nielemishäiriö (3,6 %), pyörtyminen (3,6 %) ja verivirtsaisuus (3,6 %).</w:t>
      </w:r>
      <w:r w:rsidR="002B606D" w:rsidRPr="0026220A">
        <w:rPr>
          <w:rFonts w:cstheme="minorHAnsi"/>
        </w:rPr>
        <w:t xml:space="preserve"> </w:t>
      </w:r>
    </w:p>
    <w:p w14:paraId="4683A885" w14:textId="77777777" w:rsidR="008D09C1" w:rsidRPr="0026220A" w:rsidRDefault="008D09C1" w:rsidP="002E15E1">
      <w:pPr>
        <w:rPr>
          <w:rFonts w:cstheme="minorHAnsi"/>
        </w:rPr>
      </w:pPr>
    </w:p>
    <w:p w14:paraId="70BA0D94" w14:textId="77777777" w:rsidR="00B1751A" w:rsidRPr="00EA21C7" w:rsidRDefault="00B1751A" w:rsidP="002E15E1">
      <w:pPr>
        <w:rPr>
          <w:rFonts w:cstheme="minorHAnsi"/>
          <w:sz w:val="23"/>
          <w:szCs w:val="23"/>
        </w:rPr>
      </w:pPr>
    </w:p>
    <w:p w14:paraId="6259BCE5" w14:textId="1C956BF5" w:rsidR="00A44503" w:rsidRPr="00EA21C7" w:rsidRDefault="00A44503" w:rsidP="002B5984">
      <w:pPr>
        <w:pStyle w:val="Otsikko2"/>
        <w:rPr>
          <w:rFonts w:asciiTheme="minorHAnsi" w:hAnsiTheme="minorHAnsi" w:cstheme="minorHAnsi"/>
        </w:rPr>
      </w:pPr>
      <w:bookmarkStart w:id="10" w:name="_Toc500150791"/>
      <w:bookmarkStart w:id="11" w:name="_Toc15543600"/>
      <w:r w:rsidRPr="00EA21C7">
        <w:rPr>
          <w:rFonts w:asciiTheme="minorHAnsi" w:hAnsiTheme="minorHAnsi" w:cstheme="minorHAnsi"/>
        </w:rPr>
        <w:lastRenderedPageBreak/>
        <w:t>Intervention kustannukset, kustannusvaikuttavuus ja budjettivaikutukset</w:t>
      </w:r>
      <w:bookmarkEnd w:id="10"/>
      <w:bookmarkEnd w:id="11"/>
    </w:p>
    <w:p w14:paraId="27B095AE" w14:textId="5A8F3952" w:rsidR="00A44503" w:rsidRPr="00EA21C7" w:rsidRDefault="00A44503" w:rsidP="00A44503">
      <w:pPr>
        <w:rPr>
          <w:rFonts w:cstheme="minorHAnsi"/>
        </w:rPr>
      </w:pPr>
    </w:p>
    <w:p w14:paraId="1F6BC46A" w14:textId="1E99882B" w:rsidR="00C73CC5" w:rsidRPr="0026220A" w:rsidRDefault="00DA5A4B" w:rsidP="00BF294F">
      <w:pPr>
        <w:rPr>
          <w:rFonts w:cstheme="minorHAnsi"/>
        </w:rPr>
      </w:pPr>
      <w:r w:rsidRPr="0026220A">
        <w:rPr>
          <w:rFonts w:cstheme="minorHAnsi"/>
        </w:rPr>
        <w:t>Yhden 350</w:t>
      </w:r>
      <w:r w:rsidR="00C73CC5" w:rsidRPr="0026220A">
        <w:rPr>
          <w:rFonts w:cstheme="minorHAnsi"/>
        </w:rPr>
        <w:t xml:space="preserve"> mg:n semiplimabi-annoksen veroton tukkumyyntihinta on 5 </w:t>
      </w:r>
      <w:r w:rsidR="00E61842" w:rsidRPr="0026220A">
        <w:rPr>
          <w:rFonts w:cstheme="minorHAnsi"/>
        </w:rPr>
        <w:t>756</w:t>
      </w:r>
      <w:r w:rsidR="00C73CC5" w:rsidRPr="0026220A">
        <w:rPr>
          <w:rFonts w:cstheme="minorHAnsi"/>
        </w:rPr>
        <w:t xml:space="preserve"> euroa. Fimea on arvioinut 1540-tutkimuksen PFS-mediaaniin ja haitoista johtuvien keskeytysten perusteella, että hoidon keskimääräinen kesto voisi olla 17,7 kuukautta. Tällä hoidon kestolla potilaskohtaiset lääke- ja annostelukustannukset ovat noin 155 000 euroa. Kustannuksia verrattiin 3 kuukautta kestävään solunsalpajaahoitoon (sisplatiini + 5-fluorourasiili), jonka potilaskohtaiset lääke- ja annostelukustannukset ovat Fimean arvion mukaan </w:t>
      </w:r>
      <w:r w:rsidR="00737FA7" w:rsidRPr="0026220A">
        <w:rPr>
          <w:rFonts w:cstheme="minorHAnsi"/>
        </w:rPr>
        <w:t>noin 11 000 euroa.</w:t>
      </w:r>
    </w:p>
    <w:p w14:paraId="0611AF16" w14:textId="70A6F984" w:rsidR="00737FA7" w:rsidRPr="0026220A" w:rsidRDefault="00737FA7" w:rsidP="00BF294F">
      <w:pPr>
        <w:rPr>
          <w:rFonts w:cstheme="minorHAnsi"/>
        </w:rPr>
      </w:pPr>
      <w:r w:rsidRPr="0026220A">
        <w:rPr>
          <w:rFonts w:cstheme="minorHAnsi"/>
        </w:rPr>
        <w:t xml:space="preserve">Mikäli 20-24 potilasta saisi semiplimabi-hoitoa keskimäärin 17,7 kuukauden ajan, budjettivaikutus olisi 2,9−3,5 miljoonaa euroa solunsalpaajahoitoon verrattuna. Budjettivaikutusarvioinnissa </w:t>
      </w:r>
      <w:r w:rsidR="0075189C" w:rsidRPr="0026220A">
        <w:rPr>
          <w:rFonts w:cstheme="minorHAnsi"/>
        </w:rPr>
        <w:t xml:space="preserve">yksi </w:t>
      </w:r>
      <w:r w:rsidRPr="0026220A">
        <w:rPr>
          <w:rFonts w:cstheme="minorHAnsi"/>
        </w:rPr>
        <w:t>epävarmuustekijä on hoidon kesto</w:t>
      </w:r>
      <w:r w:rsidR="0075189C" w:rsidRPr="0026220A">
        <w:rPr>
          <w:rFonts w:cstheme="minorHAnsi"/>
        </w:rPr>
        <w:t>, ellei sitä rajata aikaperusteisesti</w:t>
      </w:r>
      <w:r w:rsidRPr="0026220A">
        <w:rPr>
          <w:rFonts w:cstheme="minorHAnsi"/>
        </w:rPr>
        <w:t>.</w:t>
      </w:r>
      <w:r w:rsidR="00947DA4" w:rsidRPr="0026220A">
        <w:rPr>
          <w:rFonts w:cstheme="minorHAnsi"/>
        </w:rPr>
        <w:t xml:space="preserve"> </w:t>
      </w:r>
      <w:r w:rsidR="0075189C" w:rsidRPr="0026220A">
        <w:rPr>
          <w:rFonts w:cstheme="minorHAnsi"/>
        </w:rPr>
        <w:t>1540-tutkimuksessa hoidon enimmäiskesto eri kohorteissa oli 54-96 viikkoa, mutta semiplimabin käyttöaiheessa hoidon kestoa ei ole rajattu aikaperusteisesti. Ilman keston rajausta on mahdollista, että hoidot kestävät joissain tapauksissa huomattavasti pidempään kuin 17,7 kk.</w:t>
      </w:r>
    </w:p>
    <w:p w14:paraId="38D6CDFD" w14:textId="6153D864" w:rsidR="00C73CC5" w:rsidRPr="0026220A" w:rsidRDefault="00737FA7" w:rsidP="00BF294F">
      <w:pPr>
        <w:rPr>
          <w:rFonts w:cstheme="minorHAnsi"/>
        </w:rPr>
      </w:pPr>
      <w:r w:rsidRPr="0026220A">
        <w:rPr>
          <w:rFonts w:cstheme="minorHAnsi"/>
        </w:rPr>
        <w:t>Myyn</w:t>
      </w:r>
      <w:r w:rsidR="00A942B3" w:rsidRPr="0026220A">
        <w:rPr>
          <w:rFonts w:cstheme="minorHAnsi"/>
        </w:rPr>
        <w:t>tiluvan haltija toimitti Fimean arviointia varten kustannusvaikuttavuusmallin. Fimean näkemyksen mukaan mallinnukseen liittyy poikkeuksellisen paljon epävarmuustekijöitä, joiden vuoksi semiplimabi-hoidon kustannusvaikuttavuudesta ei ole mahdollista tehdä luotettavia johtopäätöksiä. Siksi Fimea ei myöskään esitä omaa arviota kustannusvaikuttavuudesta.</w:t>
      </w:r>
    </w:p>
    <w:p w14:paraId="68A153DC" w14:textId="77777777" w:rsidR="002B606D" w:rsidRPr="00EA21C7" w:rsidRDefault="002B606D" w:rsidP="00BF294F">
      <w:pPr>
        <w:rPr>
          <w:rFonts w:cstheme="minorHAnsi"/>
          <w:sz w:val="23"/>
          <w:szCs w:val="23"/>
        </w:rPr>
      </w:pPr>
    </w:p>
    <w:p w14:paraId="7C27799D" w14:textId="77777777" w:rsidR="00A44503" w:rsidRPr="00EA21C7" w:rsidRDefault="00A44503" w:rsidP="002B5984">
      <w:pPr>
        <w:pStyle w:val="Otsikko2"/>
        <w:rPr>
          <w:rFonts w:asciiTheme="minorHAnsi" w:hAnsiTheme="minorHAnsi" w:cstheme="minorHAnsi"/>
        </w:rPr>
      </w:pPr>
      <w:bookmarkStart w:id="12" w:name="_Toc15543601"/>
      <w:r w:rsidRPr="00EA21C7">
        <w:rPr>
          <w:rFonts w:asciiTheme="minorHAnsi" w:hAnsiTheme="minorHAnsi" w:cstheme="minorHAnsi"/>
        </w:rPr>
        <w:t>Johtopäätökset</w:t>
      </w:r>
      <w:bookmarkEnd w:id="12"/>
    </w:p>
    <w:p w14:paraId="1168CB8E" w14:textId="77777777" w:rsidR="00B1751A" w:rsidRDefault="00B1751A" w:rsidP="002A1394">
      <w:pPr>
        <w:rPr>
          <w:rFonts w:cstheme="minorHAnsi"/>
          <w:sz w:val="23"/>
          <w:szCs w:val="23"/>
        </w:rPr>
      </w:pPr>
    </w:p>
    <w:p w14:paraId="00647947" w14:textId="41C142B4" w:rsidR="00B1751A" w:rsidRPr="0026220A" w:rsidRDefault="00091DFC" w:rsidP="002A1394">
      <w:pPr>
        <w:rPr>
          <w:rFonts w:cstheme="minorHAnsi"/>
        </w:rPr>
      </w:pPr>
      <w:r w:rsidRPr="0026220A">
        <w:rPr>
          <w:rFonts w:cstheme="minorHAnsi"/>
        </w:rPr>
        <w:t>Ihon okasolusyöpä on toiseksi yleisin ihosyöpä, jonka</w:t>
      </w:r>
      <w:r w:rsidR="004E3BA5" w:rsidRPr="0026220A">
        <w:rPr>
          <w:rFonts w:cstheme="minorHAnsi"/>
        </w:rPr>
        <w:t xml:space="preserve"> oletetaan edelleen lisääntyvän mm. </w:t>
      </w:r>
      <w:r w:rsidRPr="0026220A">
        <w:rPr>
          <w:rFonts w:cstheme="minorHAnsi"/>
        </w:rPr>
        <w:t xml:space="preserve">väestön ikääntymisen ja </w:t>
      </w:r>
      <w:r w:rsidR="004E3BA5" w:rsidRPr="0026220A">
        <w:rPr>
          <w:rFonts w:cstheme="minorHAnsi"/>
        </w:rPr>
        <w:t xml:space="preserve">ultaraviolettialtistuksen takia. </w:t>
      </w:r>
      <w:r w:rsidRPr="0026220A">
        <w:rPr>
          <w:rFonts w:cstheme="minorHAnsi"/>
        </w:rPr>
        <w:t xml:space="preserve">Ensisijainen </w:t>
      </w:r>
      <w:r w:rsidR="004170B2" w:rsidRPr="0026220A">
        <w:rPr>
          <w:rFonts w:cstheme="minorHAnsi"/>
        </w:rPr>
        <w:t>hoitokeino</w:t>
      </w:r>
      <w:r w:rsidR="00386384" w:rsidRPr="0026220A">
        <w:rPr>
          <w:rFonts w:cstheme="minorHAnsi"/>
        </w:rPr>
        <w:t xml:space="preserve"> </w:t>
      </w:r>
      <w:r w:rsidRPr="0026220A">
        <w:rPr>
          <w:rFonts w:cstheme="minorHAnsi"/>
        </w:rPr>
        <w:t>on kasvaimen kirurgien leikkaus</w:t>
      </w:r>
      <w:r w:rsidR="004170B2" w:rsidRPr="0026220A">
        <w:rPr>
          <w:rFonts w:cstheme="minorHAnsi"/>
        </w:rPr>
        <w:t xml:space="preserve">. </w:t>
      </w:r>
      <w:r w:rsidR="00FF00D8" w:rsidRPr="0026220A">
        <w:rPr>
          <w:rFonts w:cstheme="minorHAnsi"/>
        </w:rPr>
        <w:t>Joissakin tapauksissa annetaan sädehoitoa sairautta hidastamaan</w:t>
      </w:r>
      <w:r w:rsidR="00B1751A" w:rsidRPr="0026220A">
        <w:rPr>
          <w:rFonts w:cstheme="minorHAnsi"/>
        </w:rPr>
        <w:t>.</w:t>
      </w:r>
      <w:r w:rsidR="00FF00D8" w:rsidRPr="0026220A" w:rsidDel="00FF00D8">
        <w:rPr>
          <w:rFonts w:cstheme="minorHAnsi"/>
        </w:rPr>
        <w:t xml:space="preserve"> </w:t>
      </w:r>
      <w:r w:rsidR="00D5202A" w:rsidRPr="0026220A">
        <w:rPr>
          <w:rFonts w:cstheme="minorHAnsi"/>
        </w:rPr>
        <w:t>Edenneen ihon okasolu</w:t>
      </w:r>
      <w:r w:rsidR="00FF00D8" w:rsidRPr="0026220A">
        <w:rPr>
          <w:rFonts w:cstheme="minorHAnsi"/>
        </w:rPr>
        <w:t>syövän</w:t>
      </w:r>
      <w:r w:rsidR="00D5202A" w:rsidRPr="0026220A">
        <w:rPr>
          <w:rFonts w:cstheme="minorHAnsi"/>
        </w:rPr>
        <w:t xml:space="preserve"> </w:t>
      </w:r>
      <w:r w:rsidR="00FF00D8" w:rsidRPr="0026220A">
        <w:rPr>
          <w:rFonts w:cstheme="minorHAnsi"/>
        </w:rPr>
        <w:t>h</w:t>
      </w:r>
      <w:r w:rsidR="004758E4" w:rsidRPr="0026220A">
        <w:rPr>
          <w:rFonts w:cstheme="minorHAnsi"/>
        </w:rPr>
        <w:t>oitona</w:t>
      </w:r>
      <w:r w:rsidR="00D5202A" w:rsidRPr="0026220A">
        <w:rPr>
          <w:rFonts w:cstheme="minorHAnsi"/>
        </w:rPr>
        <w:t xml:space="preserve"> on käytetty platin</w:t>
      </w:r>
      <w:r w:rsidR="006840CE" w:rsidRPr="0026220A">
        <w:rPr>
          <w:rFonts w:cstheme="minorHAnsi"/>
        </w:rPr>
        <w:t>a</w:t>
      </w:r>
      <w:r w:rsidR="00D5202A" w:rsidRPr="0026220A">
        <w:rPr>
          <w:rFonts w:cstheme="minorHAnsi"/>
        </w:rPr>
        <w:t>-pohjais</w:t>
      </w:r>
      <w:r w:rsidR="006840CE" w:rsidRPr="0026220A">
        <w:rPr>
          <w:rFonts w:cstheme="minorHAnsi"/>
        </w:rPr>
        <w:t>t</w:t>
      </w:r>
      <w:r w:rsidR="00D5202A" w:rsidRPr="0026220A">
        <w:rPr>
          <w:rFonts w:cstheme="minorHAnsi"/>
        </w:rPr>
        <w:t xml:space="preserve">a </w:t>
      </w:r>
      <w:r w:rsidR="006840CE" w:rsidRPr="0026220A">
        <w:rPr>
          <w:rFonts w:cstheme="minorHAnsi"/>
        </w:rPr>
        <w:t>solunsalpaajahoitoa</w:t>
      </w:r>
      <w:r w:rsidR="00D5202A" w:rsidRPr="0026220A">
        <w:rPr>
          <w:rFonts w:cstheme="minorHAnsi"/>
        </w:rPr>
        <w:t>, mutta hoitotulokset ovat olleet vaatimattomia.</w:t>
      </w:r>
      <w:r w:rsidR="00167636" w:rsidRPr="0026220A">
        <w:rPr>
          <w:rFonts w:cstheme="minorHAnsi"/>
        </w:rPr>
        <w:t xml:space="preserve"> </w:t>
      </w:r>
      <w:r w:rsidR="00386384" w:rsidRPr="0026220A">
        <w:rPr>
          <w:rFonts w:cstheme="minorHAnsi"/>
        </w:rPr>
        <w:t>Varsinkin</w:t>
      </w:r>
      <w:r w:rsidR="004758E4" w:rsidRPr="0026220A">
        <w:rPr>
          <w:rFonts w:cstheme="minorHAnsi"/>
        </w:rPr>
        <w:t xml:space="preserve"> vanhemmat potilaat sietävät huonosti platin</w:t>
      </w:r>
      <w:r w:rsidR="006840CE" w:rsidRPr="0026220A">
        <w:rPr>
          <w:rFonts w:cstheme="minorHAnsi"/>
        </w:rPr>
        <w:t>a</w:t>
      </w:r>
      <w:r w:rsidR="00894F43" w:rsidRPr="0026220A">
        <w:rPr>
          <w:rFonts w:cstheme="minorHAnsi"/>
        </w:rPr>
        <w:t>pohjaisia</w:t>
      </w:r>
      <w:r w:rsidR="004758E4" w:rsidRPr="0026220A">
        <w:rPr>
          <w:rFonts w:cstheme="minorHAnsi"/>
        </w:rPr>
        <w:t>-</w:t>
      </w:r>
      <w:r w:rsidR="00284A14" w:rsidRPr="0026220A">
        <w:rPr>
          <w:rFonts w:cstheme="minorHAnsi"/>
        </w:rPr>
        <w:t>lääke</w:t>
      </w:r>
      <w:r w:rsidR="004758E4" w:rsidRPr="0026220A">
        <w:rPr>
          <w:rFonts w:cstheme="minorHAnsi"/>
        </w:rPr>
        <w:t xml:space="preserve">hoitoja, ja </w:t>
      </w:r>
      <w:r w:rsidR="006C0CA0" w:rsidRPr="0026220A">
        <w:rPr>
          <w:rFonts w:cstheme="minorHAnsi"/>
        </w:rPr>
        <w:t xml:space="preserve">silloin </w:t>
      </w:r>
      <w:r w:rsidR="004758E4" w:rsidRPr="0026220A">
        <w:rPr>
          <w:rFonts w:cstheme="minorHAnsi"/>
        </w:rPr>
        <w:t xml:space="preserve">ainoaksi </w:t>
      </w:r>
      <w:r w:rsidR="00D5202A" w:rsidRPr="0026220A">
        <w:rPr>
          <w:rFonts w:cstheme="minorHAnsi"/>
        </w:rPr>
        <w:t>hoit</w:t>
      </w:r>
      <w:r w:rsidR="004758E4" w:rsidRPr="0026220A">
        <w:rPr>
          <w:rFonts w:cstheme="minorHAnsi"/>
        </w:rPr>
        <w:t>ovaihtoehdoksi</w:t>
      </w:r>
      <w:r w:rsidR="00D5202A" w:rsidRPr="0026220A">
        <w:rPr>
          <w:rFonts w:cstheme="minorHAnsi"/>
        </w:rPr>
        <w:t xml:space="preserve"> </w:t>
      </w:r>
      <w:r w:rsidR="004758E4" w:rsidRPr="0026220A">
        <w:rPr>
          <w:rFonts w:cstheme="minorHAnsi"/>
        </w:rPr>
        <w:t xml:space="preserve">on jäänyt </w:t>
      </w:r>
      <w:r w:rsidR="00D5202A" w:rsidRPr="0026220A">
        <w:rPr>
          <w:rFonts w:cstheme="minorHAnsi"/>
        </w:rPr>
        <w:t>oireiden mukainen hoito</w:t>
      </w:r>
      <w:r w:rsidR="00CB1D25" w:rsidRPr="0026220A">
        <w:rPr>
          <w:rFonts w:cstheme="minorHAnsi"/>
        </w:rPr>
        <w:t>.</w:t>
      </w:r>
      <w:r w:rsidR="004E3BA5" w:rsidRPr="0026220A">
        <w:rPr>
          <w:rFonts w:cstheme="minorHAnsi"/>
        </w:rPr>
        <w:t xml:space="preserve"> </w:t>
      </w:r>
      <w:r w:rsidR="00FF00D8" w:rsidRPr="0026220A">
        <w:rPr>
          <w:rFonts w:cstheme="minorHAnsi"/>
        </w:rPr>
        <w:t xml:space="preserve">Semiplimabi on ensimmäinen lääke, jolla on </w:t>
      </w:r>
      <w:r w:rsidR="004E3DCE">
        <w:rPr>
          <w:rFonts w:cstheme="minorHAnsi"/>
        </w:rPr>
        <w:t>myynti</w:t>
      </w:r>
      <w:r w:rsidR="00E21C21" w:rsidRPr="0026220A">
        <w:rPr>
          <w:rFonts w:cstheme="minorHAnsi"/>
        </w:rPr>
        <w:t xml:space="preserve">luvallinen </w:t>
      </w:r>
      <w:r w:rsidR="00FF00D8" w:rsidRPr="0026220A">
        <w:rPr>
          <w:rFonts w:cstheme="minorHAnsi"/>
        </w:rPr>
        <w:t>käyttöaihe edenneen ihon okasolusyövän hoitoon</w:t>
      </w:r>
      <w:r w:rsidR="00172208" w:rsidRPr="0026220A">
        <w:rPr>
          <w:rFonts w:cstheme="minorHAnsi"/>
        </w:rPr>
        <w:t>.</w:t>
      </w:r>
    </w:p>
    <w:p w14:paraId="469331A8" w14:textId="146440E9" w:rsidR="00666390" w:rsidRPr="0026220A" w:rsidRDefault="00B1751A" w:rsidP="002A1394">
      <w:pPr>
        <w:rPr>
          <w:rFonts w:cstheme="minorHAnsi"/>
        </w:rPr>
      </w:pPr>
      <w:r w:rsidRPr="0026220A">
        <w:rPr>
          <w:rFonts w:cstheme="minorHAnsi"/>
        </w:rPr>
        <w:t>S</w:t>
      </w:r>
      <w:r w:rsidR="00666390" w:rsidRPr="0026220A">
        <w:rPr>
          <w:rFonts w:cstheme="minorHAnsi"/>
        </w:rPr>
        <w:t xml:space="preserve">emiplimabin </w:t>
      </w:r>
      <w:r w:rsidR="004E6D89" w:rsidRPr="0026220A">
        <w:rPr>
          <w:rFonts w:cstheme="minorHAnsi"/>
        </w:rPr>
        <w:t xml:space="preserve">vaikuttavuus on </w:t>
      </w:r>
      <w:r w:rsidR="00773CCB" w:rsidRPr="0026220A">
        <w:rPr>
          <w:rFonts w:cstheme="minorHAnsi"/>
        </w:rPr>
        <w:t>toistaiseksi epäselvä</w:t>
      </w:r>
      <w:r w:rsidRPr="0026220A">
        <w:rPr>
          <w:rFonts w:cstheme="minorHAnsi"/>
        </w:rPr>
        <w:t>,</w:t>
      </w:r>
      <w:r w:rsidR="00773CCB" w:rsidRPr="0026220A">
        <w:rPr>
          <w:rFonts w:cstheme="minorHAnsi"/>
        </w:rPr>
        <w:t xml:space="preserve"> koska</w:t>
      </w:r>
      <w:r w:rsidR="004E6D89" w:rsidRPr="0026220A">
        <w:rPr>
          <w:rFonts w:cstheme="minorHAnsi"/>
        </w:rPr>
        <w:t xml:space="preserve"> </w:t>
      </w:r>
      <w:r w:rsidR="00666390" w:rsidRPr="0026220A">
        <w:rPr>
          <w:rFonts w:cstheme="minorHAnsi"/>
        </w:rPr>
        <w:t xml:space="preserve">tutkimusnäyttöön liittyy huomattavia epävarmuuksia, joista tärkeimpiä ovat </w:t>
      </w:r>
      <w:r w:rsidR="00773CCB" w:rsidRPr="0026220A">
        <w:rPr>
          <w:rFonts w:cstheme="minorHAnsi"/>
        </w:rPr>
        <w:t xml:space="preserve">vertailuryhmän puute, </w:t>
      </w:r>
      <w:r w:rsidR="00666390" w:rsidRPr="0026220A">
        <w:rPr>
          <w:rFonts w:cstheme="minorHAnsi"/>
        </w:rPr>
        <w:t>lyhyt seuranta-aika</w:t>
      </w:r>
      <w:r w:rsidR="005401E9" w:rsidRPr="0026220A">
        <w:rPr>
          <w:rFonts w:cstheme="minorHAnsi"/>
        </w:rPr>
        <w:t xml:space="preserve"> </w:t>
      </w:r>
      <w:r w:rsidR="00262C23" w:rsidRPr="0026220A">
        <w:rPr>
          <w:rFonts w:cstheme="minorHAnsi"/>
        </w:rPr>
        <w:t>(</w:t>
      </w:r>
      <w:r w:rsidR="004E3DCE">
        <w:rPr>
          <w:rFonts w:cstheme="minorHAnsi"/>
        </w:rPr>
        <w:t xml:space="preserve">mediaani </w:t>
      </w:r>
      <w:r w:rsidR="00262C23" w:rsidRPr="0026220A">
        <w:rPr>
          <w:rFonts w:cstheme="minorHAnsi"/>
        </w:rPr>
        <w:t>8,1−16,5 kk)</w:t>
      </w:r>
      <w:r w:rsidR="00666390" w:rsidRPr="0026220A">
        <w:rPr>
          <w:rFonts w:cstheme="minorHAnsi"/>
        </w:rPr>
        <w:t xml:space="preserve"> ja tutkittavien pieni määrä</w:t>
      </w:r>
      <w:r w:rsidR="00262C23" w:rsidRPr="0026220A">
        <w:rPr>
          <w:rFonts w:cstheme="minorHAnsi"/>
        </w:rPr>
        <w:t xml:space="preserve"> (N=192)</w:t>
      </w:r>
      <w:r w:rsidR="00666390" w:rsidRPr="0026220A">
        <w:rPr>
          <w:rFonts w:cstheme="minorHAnsi"/>
        </w:rPr>
        <w:t>.</w:t>
      </w:r>
      <w:r w:rsidR="004E6D89" w:rsidRPr="0026220A">
        <w:rPr>
          <w:rFonts w:cstheme="minorHAnsi"/>
        </w:rPr>
        <w:t xml:space="preserve"> </w:t>
      </w:r>
      <w:r w:rsidR="00773CCB" w:rsidRPr="0026220A">
        <w:rPr>
          <w:rFonts w:cstheme="minorHAnsi"/>
        </w:rPr>
        <w:t>Alustavien tulosten mukaan n</w:t>
      </w:r>
      <w:r w:rsidR="00666390" w:rsidRPr="0026220A">
        <w:rPr>
          <w:rFonts w:cstheme="minorHAnsi"/>
        </w:rPr>
        <w:t xml:space="preserve">oin 44 % saavutti </w:t>
      </w:r>
      <w:r w:rsidR="005401E9" w:rsidRPr="0026220A">
        <w:rPr>
          <w:rFonts w:cstheme="minorHAnsi"/>
        </w:rPr>
        <w:t>semipli</w:t>
      </w:r>
      <w:r w:rsidR="00666390" w:rsidRPr="0026220A">
        <w:rPr>
          <w:rFonts w:cstheme="minorHAnsi"/>
        </w:rPr>
        <w:t>mabilla hoitovasteen, eli syöpä</w:t>
      </w:r>
      <w:r w:rsidR="00A626ED">
        <w:rPr>
          <w:rFonts w:cstheme="minorHAnsi"/>
        </w:rPr>
        <w:t>kasvain</w:t>
      </w:r>
      <w:r w:rsidR="00666390" w:rsidRPr="0026220A">
        <w:rPr>
          <w:rFonts w:cstheme="minorHAnsi"/>
        </w:rPr>
        <w:t xml:space="preserve"> pieneni, mutta toistaiseksi ei tiedetä, johtaako tämä elinajan pidentymiseen. </w:t>
      </w:r>
      <w:r w:rsidR="00773CCB" w:rsidRPr="0026220A">
        <w:rPr>
          <w:rFonts w:cstheme="minorHAnsi"/>
        </w:rPr>
        <w:t xml:space="preserve">Elossa vuoden jälkeen oli 86% ja 53%:lla tauti ei ollut edennyt. </w:t>
      </w:r>
      <w:r w:rsidR="00666390" w:rsidRPr="0026220A">
        <w:rPr>
          <w:rFonts w:cstheme="minorHAnsi"/>
        </w:rPr>
        <w:t xml:space="preserve">Aiemmin reaalimaailman aineistoissa hoitovasteosuudet muilla hoitovaihtoehdoilla ovat </w:t>
      </w:r>
      <w:r w:rsidRPr="0026220A">
        <w:rPr>
          <w:rFonts w:cstheme="minorHAnsi"/>
        </w:rPr>
        <w:t xml:space="preserve">vuoden kohdalla olleet </w:t>
      </w:r>
      <w:r w:rsidR="00666390" w:rsidRPr="0026220A">
        <w:rPr>
          <w:rFonts w:cstheme="minorHAnsi"/>
        </w:rPr>
        <w:t>18-26%. Hoitovasteen pitkäkestoisuuteen antaa viitteitä se, ettei päätutkimuksessa (1540) oltu vielä saavutettu kokonaiselinoloajan eikä elossaoloajan ilman taudin etenemistä (PFS) mediaaneja seurannan aikana</w:t>
      </w:r>
      <w:r w:rsidR="005401E9" w:rsidRPr="0026220A">
        <w:rPr>
          <w:rFonts w:cstheme="minorHAnsi"/>
        </w:rPr>
        <w:t>,</w:t>
      </w:r>
      <w:r w:rsidR="00666390" w:rsidRPr="0026220A">
        <w:rPr>
          <w:rFonts w:cstheme="minorHAnsi"/>
        </w:rPr>
        <w:t xml:space="preserve"> </w:t>
      </w:r>
      <w:r w:rsidR="005401E9" w:rsidRPr="0026220A">
        <w:rPr>
          <w:rFonts w:cstheme="minorHAnsi"/>
        </w:rPr>
        <w:t xml:space="preserve">mutta </w:t>
      </w:r>
      <w:r w:rsidR="00666390" w:rsidRPr="0026220A">
        <w:rPr>
          <w:rFonts w:cstheme="minorHAnsi"/>
        </w:rPr>
        <w:t>seuranta-ajat olivat vielä lyhyitä</w:t>
      </w:r>
      <w:r w:rsidR="005401E9" w:rsidRPr="0026220A">
        <w:rPr>
          <w:rFonts w:cstheme="minorHAnsi"/>
        </w:rPr>
        <w:t>, joten johtopäätöstä ei voi tehdä</w:t>
      </w:r>
      <w:r w:rsidR="00666390" w:rsidRPr="0026220A">
        <w:rPr>
          <w:rFonts w:cstheme="minorHAnsi"/>
        </w:rPr>
        <w:t>.</w:t>
      </w:r>
    </w:p>
    <w:p w14:paraId="0C1C0630" w14:textId="7AB309D1" w:rsidR="00091DFC" w:rsidRPr="0026220A" w:rsidRDefault="00091DFC" w:rsidP="002A1394">
      <w:pPr>
        <w:rPr>
          <w:rFonts w:cstheme="minorHAnsi"/>
        </w:rPr>
      </w:pPr>
    </w:p>
    <w:p w14:paraId="06D85A77" w14:textId="24831E30" w:rsidR="00557113" w:rsidRPr="0026220A" w:rsidRDefault="00386384" w:rsidP="002A1394">
      <w:pPr>
        <w:rPr>
          <w:rFonts w:cstheme="minorHAnsi"/>
        </w:rPr>
      </w:pPr>
      <w:r w:rsidRPr="0026220A">
        <w:rPr>
          <w:rFonts w:cstheme="minorHAnsi"/>
        </w:rPr>
        <w:t>1540-</w:t>
      </w:r>
      <w:r w:rsidR="003706CB" w:rsidRPr="0026220A">
        <w:rPr>
          <w:rFonts w:cstheme="minorHAnsi"/>
        </w:rPr>
        <w:t>tutkimuksen kahdessa tutkimu</w:t>
      </w:r>
      <w:r w:rsidR="00167636" w:rsidRPr="0026220A">
        <w:rPr>
          <w:rFonts w:cstheme="minorHAnsi"/>
        </w:rPr>
        <w:t>s</w:t>
      </w:r>
      <w:r w:rsidR="003706CB" w:rsidRPr="0026220A">
        <w:rPr>
          <w:rFonts w:cstheme="minorHAnsi"/>
        </w:rPr>
        <w:t xml:space="preserve">ryhmässä </w:t>
      </w:r>
      <w:r w:rsidRPr="0026220A">
        <w:rPr>
          <w:rFonts w:cstheme="minorHAnsi"/>
        </w:rPr>
        <w:t>sem</w:t>
      </w:r>
      <w:r w:rsidR="00172208" w:rsidRPr="0026220A">
        <w:rPr>
          <w:rFonts w:cstheme="minorHAnsi"/>
        </w:rPr>
        <w:t>i</w:t>
      </w:r>
      <w:r w:rsidRPr="0026220A">
        <w:rPr>
          <w:rFonts w:cstheme="minorHAnsi"/>
        </w:rPr>
        <w:t xml:space="preserve">plimabia </w:t>
      </w:r>
      <w:r w:rsidR="00091DFC" w:rsidRPr="0026220A">
        <w:rPr>
          <w:rFonts w:cstheme="minorHAnsi"/>
        </w:rPr>
        <w:t>annos</w:t>
      </w:r>
      <w:r w:rsidRPr="0026220A">
        <w:rPr>
          <w:rFonts w:cstheme="minorHAnsi"/>
        </w:rPr>
        <w:t>teltiin</w:t>
      </w:r>
      <w:r w:rsidR="00091DFC" w:rsidRPr="0026220A">
        <w:rPr>
          <w:rFonts w:cstheme="minorHAnsi"/>
        </w:rPr>
        <w:t xml:space="preserve"> painon mukaan. </w:t>
      </w:r>
      <w:r w:rsidRPr="0026220A">
        <w:rPr>
          <w:rFonts w:cstheme="minorHAnsi"/>
        </w:rPr>
        <w:t>Ryhmä jossa</w:t>
      </w:r>
      <w:r w:rsidR="00091DFC" w:rsidRPr="0026220A">
        <w:rPr>
          <w:rFonts w:cstheme="minorHAnsi"/>
        </w:rPr>
        <w:t xml:space="preserve"> annostelu oli kiinteä</w:t>
      </w:r>
      <w:r w:rsidRPr="0026220A">
        <w:rPr>
          <w:rFonts w:cstheme="minorHAnsi"/>
        </w:rPr>
        <w:t>,</w:t>
      </w:r>
      <w:r w:rsidR="00091DFC" w:rsidRPr="0026220A">
        <w:rPr>
          <w:rFonts w:cstheme="minorHAnsi"/>
        </w:rPr>
        <w:t xml:space="preserve"> kuten myyntiluvan </w:t>
      </w:r>
      <w:r w:rsidR="009706FD">
        <w:rPr>
          <w:rFonts w:cstheme="minorHAnsi"/>
        </w:rPr>
        <w:t>mukaisessa käyttöaiheessa</w:t>
      </w:r>
      <w:r w:rsidRPr="0026220A">
        <w:rPr>
          <w:rFonts w:cstheme="minorHAnsi"/>
        </w:rPr>
        <w:t xml:space="preserve">, </w:t>
      </w:r>
      <w:r w:rsidR="00167636" w:rsidRPr="0026220A">
        <w:rPr>
          <w:rFonts w:cstheme="minorHAnsi"/>
        </w:rPr>
        <w:t>hoitotulokset olivat huonompia.</w:t>
      </w:r>
      <w:r w:rsidR="00091DFC" w:rsidRPr="0026220A">
        <w:rPr>
          <w:rFonts w:cstheme="minorHAnsi"/>
        </w:rPr>
        <w:t xml:space="preserve"> </w:t>
      </w:r>
      <w:r w:rsidR="00262C23" w:rsidRPr="0026220A">
        <w:rPr>
          <w:rFonts w:cstheme="minorHAnsi"/>
        </w:rPr>
        <w:t>R</w:t>
      </w:r>
      <w:r w:rsidR="00167636" w:rsidRPr="0026220A">
        <w:rPr>
          <w:rFonts w:cstheme="minorHAnsi"/>
        </w:rPr>
        <w:t>yhmän koko oli pieni (n=</w:t>
      </w:r>
      <w:r w:rsidR="00001CD5" w:rsidRPr="0026220A">
        <w:rPr>
          <w:rFonts w:cstheme="minorHAnsi"/>
        </w:rPr>
        <w:t>56</w:t>
      </w:r>
      <w:r w:rsidR="00167636" w:rsidRPr="0026220A">
        <w:rPr>
          <w:rFonts w:cstheme="minorHAnsi"/>
        </w:rPr>
        <w:t xml:space="preserve">) ja </w:t>
      </w:r>
      <w:r w:rsidR="006B364F" w:rsidRPr="0026220A">
        <w:rPr>
          <w:rFonts w:cstheme="minorHAnsi"/>
        </w:rPr>
        <w:t>seuranta-aika rajoittunut enintään 54 viikkoon</w:t>
      </w:r>
      <w:r w:rsidR="00091DFC" w:rsidRPr="0026220A">
        <w:rPr>
          <w:rFonts w:cstheme="minorHAnsi"/>
        </w:rPr>
        <w:t>.</w:t>
      </w:r>
      <w:r w:rsidR="003706CB" w:rsidRPr="0026220A">
        <w:rPr>
          <w:rFonts w:cstheme="minorHAnsi"/>
        </w:rPr>
        <w:t xml:space="preserve"> </w:t>
      </w:r>
    </w:p>
    <w:p w14:paraId="048D3B01" w14:textId="2C70CD76" w:rsidR="00557113" w:rsidRPr="0026220A" w:rsidRDefault="00172208" w:rsidP="002A1394">
      <w:pPr>
        <w:rPr>
          <w:rFonts w:cstheme="minorHAnsi"/>
        </w:rPr>
      </w:pPr>
      <w:r w:rsidRPr="0026220A">
        <w:rPr>
          <w:rFonts w:cstheme="minorHAnsi"/>
        </w:rPr>
        <w:t>Koska t</w:t>
      </w:r>
      <w:r w:rsidR="001E45F2" w:rsidRPr="0026220A">
        <w:rPr>
          <w:rFonts w:cstheme="minorHAnsi"/>
        </w:rPr>
        <w:t>utkimuksessa ei oll</w:t>
      </w:r>
      <w:r w:rsidR="00557113" w:rsidRPr="0026220A">
        <w:rPr>
          <w:rFonts w:cstheme="minorHAnsi"/>
        </w:rPr>
        <w:t>u</w:t>
      </w:r>
      <w:r w:rsidR="001E45F2" w:rsidRPr="0026220A">
        <w:rPr>
          <w:rFonts w:cstheme="minorHAnsi"/>
        </w:rPr>
        <w:t>t</w:t>
      </w:r>
      <w:r w:rsidR="00557113" w:rsidRPr="0026220A">
        <w:rPr>
          <w:rFonts w:cstheme="minorHAnsi"/>
        </w:rPr>
        <w:t xml:space="preserve"> mukana vertailuryhmää</w:t>
      </w:r>
      <w:r w:rsidR="00BF27AA" w:rsidRPr="0026220A">
        <w:rPr>
          <w:rFonts w:cstheme="minorHAnsi"/>
        </w:rPr>
        <w:t>,</w:t>
      </w:r>
      <w:r w:rsidRPr="0026220A">
        <w:rPr>
          <w:rFonts w:cstheme="minorHAnsi"/>
        </w:rPr>
        <w:t xml:space="preserve"> yritettiin vertailua tehdä muissa aineistoissa saatuihin hoitotuloksiin</w:t>
      </w:r>
      <w:r w:rsidR="00BF27AA" w:rsidRPr="0026220A">
        <w:rPr>
          <w:rFonts w:cstheme="minorHAnsi"/>
        </w:rPr>
        <w:t>.</w:t>
      </w:r>
      <w:r w:rsidRPr="0026220A">
        <w:rPr>
          <w:rFonts w:cstheme="minorHAnsi"/>
        </w:rPr>
        <w:t xml:space="preserve"> E</w:t>
      </w:r>
      <w:r w:rsidR="001E45F2" w:rsidRPr="0026220A">
        <w:rPr>
          <w:rFonts w:cstheme="minorHAnsi"/>
        </w:rPr>
        <w:t>päsuora vertailu muis</w:t>
      </w:r>
      <w:r w:rsidR="00055151" w:rsidRPr="0026220A">
        <w:rPr>
          <w:rFonts w:cstheme="minorHAnsi"/>
        </w:rPr>
        <w:t>s</w:t>
      </w:r>
      <w:r w:rsidR="001E45F2" w:rsidRPr="0026220A">
        <w:rPr>
          <w:rFonts w:cstheme="minorHAnsi"/>
        </w:rPr>
        <w:t xml:space="preserve">a tutkimuksissa </w:t>
      </w:r>
      <w:r w:rsidRPr="0026220A">
        <w:rPr>
          <w:rFonts w:cstheme="minorHAnsi"/>
        </w:rPr>
        <w:t xml:space="preserve">tai aineistoissa </w:t>
      </w:r>
      <w:r w:rsidR="001E45F2" w:rsidRPr="0026220A">
        <w:rPr>
          <w:rFonts w:cstheme="minorHAnsi"/>
        </w:rPr>
        <w:t xml:space="preserve">saatuihin muiden hoitojen tuloksiin, on hyvin epävarmaa, koska potilasryhmät voivat poiketa toisistaan ja hoitovastetta on arvioitu vaihtelevasti. </w:t>
      </w:r>
      <w:r w:rsidR="00055151" w:rsidRPr="0026220A">
        <w:rPr>
          <w:rFonts w:cstheme="minorHAnsi"/>
        </w:rPr>
        <w:t>NICE yritti suosituksensa tueksi tehdä epäsuoraa vertailua useasta eri aineistosta, mutta he totesivat</w:t>
      </w:r>
      <w:r w:rsidR="00B222EA" w:rsidRPr="0026220A">
        <w:rPr>
          <w:rFonts w:cstheme="minorHAnsi"/>
        </w:rPr>
        <w:t>,</w:t>
      </w:r>
      <w:r w:rsidR="00055151" w:rsidRPr="0026220A">
        <w:rPr>
          <w:rFonts w:cstheme="minorHAnsi"/>
        </w:rPr>
        <w:t xml:space="preserve"> etteivät aineistot antaneet luotettavia tuloksia kemoterapian tai tukihoidon hoitotuloksista. </w:t>
      </w:r>
    </w:p>
    <w:p w14:paraId="3995A4AC" w14:textId="03C738F1" w:rsidR="00386384" w:rsidRPr="0026220A" w:rsidRDefault="00947DA4" w:rsidP="002A1394">
      <w:pPr>
        <w:rPr>
          <w:rFonts w:cstheme="minorHAnsi"/>
        </w:rPr>
      </w:pPr>
      <w:r w:rsidRPr="0026220A">
        <w:rPr>
          <w:rFonts w:cstheme="minorHAnsi"/>
        </w:rPr>
        <w:t>Tutkimuksen tulosten yleistettävyyttä alentaa myös se, että</w:t>
      </w:r>
      <w:r w:rsidR="00386384" w:rsidRPr="0026220A">
        <w:rPr>
          <w:rFonts w:cstheme="minorHAnsi"/>
        </w:rPr>
        <w:t xml:space="preserve"> osallistuneet olivat keskimäärin nuorempia </w:t>
      </w:r>
      <w:r w:rsidR="00172208" w:rsidRPr="0026220A">
        <w:rPr>
          <w:rFonts w:cstheme="minorHAnsi"/>
        </w:rPr>
        <w:t xml:space="preserve">ja hyväkuntoisempia </w:t>
      </w:r>
      <w:r w:rsidR="00386384" w:rsidRPr="0026220A">
        <w:rPr>
          <w:rFonts w:cstheme="minorHAnsi"/>
        </w:rPr>
        <w:t xml:space="preserve">kuin </w:t>
      </w:r>
      <w:r w:rsidRPr="0026220A">
        <w:rPr>
          <w:rFonts w:cstheme="minorHAnsi"/>
        </w:rPr>
        <w:t xml:space="preserve">edennyttä ihon okasolunsyöpää sairastavat </w:t>
      </w:r>
      <w:r w:rsidR="00386384" w:rsidRPr="0026220A">
        <w:rPr>
          <w:rFonts w:cstheme="minorHAnsi"/>
        </w:rPr>
        <w:t>potilaat yleensä.</w:t>
      </w:r>
      <w:r w:rsidR="00262C23" w:rsidRPr="0026220A">
        <w:rPr>
          <w:rFonts w:cstheme="minorHAnsi"/>
        </w:rPr>
        <w:t xml:space="preserve"> </w:t>
      </w:r>
      <w:r w:rsidR="00E21C21" w:rsidRPr="0026220A">
        <w:rPr>
          <w:rFonts w:cstheme="minorHAnsi"/>
        </w:rPr>
        <w:t>Tutkimukseen osallistuneiden potilaiden mediaani-ikä oli 71 vuotta, kun Suomessa yli puolet sairastuneista on yli 80-vuotiaita. Lisäksi tutkimuksesta poissuljetiin toimintakyvyltään huonokuntoiset potilaat.</w:t>
      </w:r>
    </w:p>
    <w:p w14:paraId="349E5EC0" w14:textId="2D813104" w:rsidR="003706CB" w:rsidRPr="0026220A" w:rsidRDefault="00CC4349" w:rsidP="002A1394">
      <w:pPr>
        <w:rPr>
          <w:rFonts w:cstheme="minorHAnsi"/>
        </w:rPr>
      </w:pPr>
      <w:r w:rsidRPr="0026220A">
        <w:rPr>
          <w:rFonts w:cstheme="minorHAnsi"/>
        </w:rPr>
        <w:t>Semiplimabi</w:t>
      </w:r>
      <w:r w:rsidR="00001CD5" w:rsidRPr="0026220A">
        <w:rPr>
          <w:rFonts w:cstheme="minorHAnsi"/>
        </w:rPr>
        <w:t>-hoitoon liittyy</w:t>
      </w:r>
      <w:r w:rsidRPr="0026220A">
        <w:rPr>
          <w:rFonts w:cstheme="minorHAnsi"/>
        </w:rPr>
        <w:t xml:space="preserve"> immuunijärjestelmän</w:t>
      </w:r>
      <w:r w:rsidR="00001CD5" w:rsidRPr="0026220A">
        <w:rPr>
          <w:rFonts w:cstheme="minorHAnsi"/>
        </w:rPr>
        <w:t xml:space="preserve"> toimintaan</w:t>
      </w:r>
      <w:r w:rsidRPr="0026220A">
        <w:rPr>
          <w:rFonts w:cstheme="minorHAnsi"/>
        </w:rPr>
        <w:t xml:space="preserve"> liittyviä haittava</w:t>
      </w:r>
      <w:r w:rsidR="00001CD5" w:rsidRPr="0026220A">
        <w:rPr>
          <w:rFonts w:cstheme="minorHAnsi"/>
        </w:rPr>
        <w:t>i</w:t>
      </w:r>
      <w:r w:rsidRPr="0026220A">
        <w:rPr>
          <w:rFonts w:cstheme="minorHAnsi"/>
        </w:rPr>
        <w:t>kutuk</w:t>
      </w:r>
      <w:r w:rsidR="00001CD5" w:rsidRPr="0026220A">
        <w:rPr>
          <w:rFonts w:cstheme="minorHAnsi"/>
        </w:rPr>
        <w:t>s</w:t>
      </w:r>
      <w:r w:rsidRPr="0026220A">
        <w:rPr>
          <w:rFonts w:cstheme="minorHAnsi"/>
        </w:rPr>
        <w:t>ia</w:t>
      </w:r>
      <w:r w:rsidR="00001CD5" w:rsidRPr="0026220A">
        <w:rPr>
          <w:rFonts w:cstheme="minorHAnsi"/>
        </w:rPr>
        <w:t xml:space="preserve"> ja </w:t>
      </w:r>
      <w:r w:rsidR="00947DA4" w:rsidRPr="0026220A">
        <w:rPr>
          <w:rFonts w:cstheme="minorHAnsi"/>
        </w:rPr>
        <w:t xml:space="preserve">ne </w:t>
      </w:r>
      <w:r w:rsidR="00001CD5" w:rsidRPr="0026220A">
        <w:rPr>
          <w:rFonts w:cstheme="minorHAnsi"/>
        </w:rPr>
        <w:t xml:space="preserve">ovat samantapaisia kuin muilla </w:t>
      </w:r>
      <w:r w:rsidR="00BC1AD4" w:rsidRPr="0026220A">
        <w:rPr>
          <w:rFonts w:cstheme="minorHAnsi"/>
        </w:rPr>
        <w:t>saman tyyppisillä</w:t>
      </w:r>
      <w:r w:rsidR="00001CD5" w:rsidRPr="0026220A">
        <w:rPr>
          <w:rFonts w:cstheme="minorHAnsi"/>
        </w:rPr>
        <w:t xml:space="preserve"> syöpähoidoilla havaitut haitat. Yleisimpiä </w:t>
      </w:r>
      <w:r w:rsidR="00203DA9" w:rsidRPr="0026220A">
        <w:rPr>
          <w:rFonts w:cstheme="minorHAnsi"/>
        </w:rPr>
        <w:t xml:space="preserve">vakavaksi luokiteltuja haittoja olivat anemia, uupumus, keuhkoembolia, kuivuminen, nielemishäiriö, pyörtyminen ja </w:t>
      </w:r>
      <w:r w:rsidR="00BC1AD4" w:rsidRPr="0026220A">
        <w:rPr>
          <w:rFonts w:cstheme="minorHAnsi"/>
        </w:rPr>
        <w:t>verivirtsaisuus.</w:t>
      </w:r>
      <w:r w:rsidR="00AF03C4" w:rsidRPr="0026220A">
        <w:rPr>
          <w:rFonts w:cstheme="minorHAnsi"/>
        </w:rPr>
        <w:t xml:space="preserve"> </w:t>
      </w:r>
      <w:r w:rsidR="006B364F" w:rsidRPr="0026220A">
        <w:rPr>
          <w:rFonts w:cstheme="minorHAnsi"/>
        </w:rPr>
        <w:t>Valmisteen yhteenvedossa mainitaan Stevens-Johnsonin oireyhtymä ja toksinen epidermaalinen nekrolyysi mahdoll</w:t>
      </w:r>
      <w:r w:rsidR="00A60090" w:rsidRPr="0026220A">
        <w:rPr>
          <w:rFonts w:cstheme="minorHAnsi"/>
        </w:rPr>
        <w:t>i</w:t>
      </w:r>
      <w:r w:rsidR="006B364F" w:rsidRPr="0026220A">
        <w:rPr>
          <w:rFonts w:cstheme="minorHAnsi"/>
        </w:rPr>
        <w:t>sina vakavina reaktioina (EMA/254631/2019). Euroopan lääkeviraston EMA</w:t>
      </w:r>
      <w:r w:rsidR="00BC1AD4" w:rsidRPr="0026220A">
        <w:rPr>
          <w:rFonts w:cstheme="minorHAnsi"/>
        </w:rPr>
        <w:t>:</w:t>
      </w:r>
      <w:r w:rsidR="006B364F" w:rsidRPr="0026220A">
        <w:rPr>
          <w:rFonts w:cstheme="minorHAnsi"/>
        </w:rPr>
        <w:t>n mukaan haittavaikutukset ovat hallittavissa</w:t>
      </w:r>
      <w:r w:rsidR="00262C23" w:rsidRPr="0026220A">
        <w:rPr>
          <w:rFonts w:cstheme="minorHAnsi"/>
        </w:rPr>
        <w:t>.</w:t>
      </w:r>
    </w:p>
    <w:p w14:paraId="60A7A42E" w14:textId="7E86E5E8" w:rsidR="00172208" w:rsidRPr="0026220A" w:rsidRDefault="00386384" w:rsidP="001B50D4">
      <w:pPr>
        <w:pStyle w:val="Vaintekstin"/>
        <w:rPr>
          <w:rFonts w:asciiTheme="minorHAnsi" w:hAnsiTheme="minorHAnsi"/>
          <w:szCs w:val="22"/>
        </w:rPr>
      </w:pPr>
      <w:r w:rsidRPr="0026220A">
        <w:rPr>
          <w:rFonts w:asciiTheme="minorHAnsi" w:hAnsiTheme="minorHAnsi"/>
          <w:szCs w:val="22"/>
        </w:rPr>
        <w:t>T</w:t>
      </w:r>
      <w:r w:rsidR="008F2743" w:rsidRPr="0026220A">
        <w:rPr>
          <w:rFonts w:asciiTheme="minorHAnsi" w:hAnsiTheme="minorHAnsi"/>
          <w:szCs w:val="22"/>
        </w:rPr>
        <w:t xml:space="preserve">utkimusnäyttöön liittyvien rajoitteiden </w:t>
      </w:r>
      <w:r w:rsidR="00BC1AD4" w:rsidRPr="0026220A">
        <w:rPr>
          <w:rFonts w:asciiTheme="minorHAnsi" w:hAnsiTheme="minorHAnsi"/>
          <w:szCs w:val="22"/>
        </w:rPr>
        <w:t>vuoksi EMA</w:t>
      </w:r>
      <w:r w:rsidR="008F2743" w:rsidRPr="0026220A">
        <w:rPr>
          <w:rFonts w:asciiTheme="minorHAnsi" w:hAnsiTheme="minorHAnsi"/>
          <w:szCs w:val="22"/>
        </w:rPr>
        <w:t xml:space="preserve"> on myöntänyt myyntiluvan ehdollisena</w:t>
      </w:r>
      <w:r w:rsidR="000040CF">
        <w:rPr>
          <w:rFonts w:asciiTheme="minorHAnsi" w:hAnsiTheme="minorHAnsi"/>
          <w:szCs w:val="22"/>
        </w:rPr>
        <w:t>.</w:t>
      </w:r>
      <w:r w:rsidR="00BF27AA" w:rsidRPr="0026220A">
        <w:rPr>
          <w:rFonts w:asciiTheme="minorHAnsi" w:hAnsiTheme="minorHAnsi"/>
          <w:szCs w:val="22"/>
        </w:rPr>
        <w:t xml:space="preserve"> Sen </w:t>
      </w:r>
      <w:r w:rsidR="00172208" w:rsidRPr="0026220A">
        <w:rPr>
          <w:rFonts w:asciiTheme="minorHAnsi" w:hAnsiTheme="minorHAnsi"/>
          <w:szCs w:val="22"/>
        </w:rPr>
        <w:t xml:space="preserve">edellytyksenä on lisätiedon tuottaminen </w:t>
      </w:r>
      <w:r w:rsidR="00BF27AA" w:rsidRPr="0026220A">
        <w:rPr>
          <w:rFonts w:asciiTheme="minorHAnsi" w:hAnsiTheme="minorHAnsi"/>
          <w:szCs w:val="22"/>
        </w:rPr>
        <w:t xml:space="preserve">mm. </w:t>
      </w:r>
      <w:r w:rsidR="00172208" w:rsidRPr="0026220A">
        <w:rPr>
          <w:rFonts w:asciiTheme="minorHAnsi" w:hAnsiTheme="minorHAnsi"/>
          <w:szCs w:val="22"/>
        </w:rPr>
        <w:t>annostelusta, PD-L1-pitoisuuden merkityksestä teholle ja hoidon vaikutuksista pitkällä aikavälillä.</w:t>
      </w:r>
    </w:p>
    <w:p w14:paraId="075D6571" w14:textId="77777777" w:rsidR="000562CD" w:rsidRPr="0026220A" w:rsidRDefault="000562CD" w:rsidP="001B50D4">
      <w:pPr>
        <w:pStyle w:val="Vaintekstin"/>
        <w:rPr>
          <w:rFonts w:asciiTheme="minorHAnsi" w:hAnsiTheme="minorHAnsi"/>
          <w:szCs w:val="22"/>
        </w:rPr>
      </w:pPr>
    </w:p>
    <w:p w14:paraId="3AE4F7D2" w14:textId="3FF861CE" w:rsidR="00386384" w:rsidRPr="0026220A" w:rsidRDefault="008F2743" w:rsidP="002A1394">
      <w:pPr>
        <w:rPr>
          <w:rFonts w:cstheme="minorHAnsi"/>
        </w:rPr>
      </w:pPr>
      <w:r w:rsidRPr="0026220A">
        <w:rPr>
          <w:rFonts w:cstheme="minorHAnsi"/>
        </w:rPr>
        <w:t>Kustannusvaikuttavuuden arviointiin liittyy poikkeuksellisen paljon epävarmuustekijöitä, eikä Fimea siksi esittänyt arviota inkrementaalisesta kustannusvaikuttavuussuhteesta (ICER)</w:t>
      </w:r>
      <w:r w:rsidR="00386384" w:rsidRPr="0026220A">
        <w:rPr>
          <w:rFonts w:cstheme="minorHAnsi"/>
        </w:rPr>
        <w:t xml:space="preserve">. </w:t>
      </w:r>
      <w:r w:rsidR="00BD3C15" w:rsidRPr="0026220A">
        <w:rPr>
          <w:rFonts w:cstheme="minorHAnsi"/>
        </w:rPr>
        <w:t xml:space="preserve">Myöskään NICE ei ole toistaiseksi tehnyt omaa kustannusvaikuttavuusanalyysia. </w:t>
      </w:r>
      <w:r w:rsidR="00262C23" w:rsidRPr="0026220A">
        <w:rPr>
          <w:rFonts w:cstheme="minorHAnsi"/>
        </w:rPr>
        <w:t>Semiplimabi-hoidon kustannukset ovat korkeat</w:t>
      </w:r>
      <w:r w:rsidR="005401E9" w:rsidRPr="0026220A">
        <w:rPr>
          <w:rFonts w:cstheme="minorHAnsi"/>
        </w:rPr>
        <w:t>; l</w:t>
      </w:r>
      <w:r w:rsidR="00262C23" w:rsidRPr="0026220A">
        <w:rPr>
          <w:rFonts w:cstheme="minorHAnsi"/>
        </w:rPr>
        <w:t xml:space="preserve">ääke- ja annostelukustannukset </w:t>
      </w:r>
      <w:r w:rsidR="005401E9" w:rsidRPr="0026220A">
        <w:rPr>
          <w:rFonts w:cstheme="minorHAnsi"/>
        </w:rPr>
        <w:t xml:space="preserve">ovat noin </w:t>
      </w:r>
      <w:r w:rsidR="00262C23" w:rsidRPr="0026220A">
        <w:rPr>
          <w:rFonts w:cstheme="minorHAnsi"/>
        </w:rPr>
        <w:t xml:space="preserve">155 000 euroa, </w:t>
      </w:r>
      <w:r w:rsidR="005401E9" w:rsidRPr="0026220A">
        <w:rPr>
          <w:rFonts w:cstheme="minorHAnsi"/>
        </w:rPr>
        <w:t xml:space="preserve">kun </w:t>
      </w:r>
      <w:r w:rsidR="00262C23" w:rsidRPr="0026220A">
        <w:rPr>
          <w:rFonts w:cstheme="minorHAnsi"/>
        </w:rPr>
        <w:t xml:space="preserve">hoidon </w:t>
      </w:r>
      <w:r w:rsidR="009706FD">
        <w:rPr>
          <w:rFonts w:cstheme="minorHAnsi"/>
        </w:rPr>
        <w:t>keskimääräiseksi kestoksi oletetaan</w:t>
      </w:r>
      <w:r w:rsidR="005401E9" w:rsidRPr="0026220A">
        <w:rPr>
          <w:rFonts w:cstheme="minorHAnsi"/>
        </w:rPr>
        <w:t xml:space="preserve"> </w:t>
      </w:r>
      <w:r w:rsidR="00262C23" w:rsidRPr="0026220A">
        <w:rPr>
          <w:rFonts w:cstheme="minorHAnsi"/>
        </w:rPr>
        <w:t>17,7 k</w:t>
      </w:r>
      <w:r w:rsidR="005401E9" w:rsidRPr="0026220A">
        <w:rPr>
          <w:rFonts w:cstheme="minorHAnsi"/>
        </w:rPr>
        <w:t>uukaut</w:t>
      </w:r>
      <w:r w:rsidR="009706FD">
        <w:rPr>
          <w:rFonts w:cstheme="minorHAnsi"/>
        </w:rPr>
        <w:t>ta</w:t>
      </w:r>
      <w:r w:rsidR="00262C23" w:rsidRPr="0026220A">
        <w:rPr>
          <w:rFonts w:cstheme="minorHAnsi"/>
        </w:rPr>
        <w:t>.</w:t>
      </w:r>
    </w:p>
    <w:p w14:paraId="47A0E3CB" w14:textId="77777777" w:rsidR="00FF00D8" w:rsidRPr="000562CD" w:rsidRDefault="00FF00D8" w:rsidP="00FF00D8">
      <w:pPr>
        <w:pStyle w:val="Vaintekstin"/>
        <w:ind w:left="720"/>
        <w:rPr>
          <w:rFonts w:asciiTheme="minorHAnsi" w:hAnsiTheme="minorHAnsi"/>
          <w:szCs w:val="22"/>
        </w:rPr>
      </w:pPr>
    </w:p>
    <w:p w14:paraId="17D2DA1B" w14:textId="436DB3D1" w:rsidR="00A44503" w:rsidRPr="00EA21C7" w:rsidRDefault="00A44503" w:rsidP="002B5984">
      <w:pPr>
        <w:pStyle w:val="Otsikko2"/>
        <w:rPr>
          <w:rFonts w:asciiTheme="minorHAnsi" w:hAnsiTheme="minorHAnsi" w:cstheme="minorHAnsi"/>
        </w:rPr>
      </w:pPr>
      <w:bookmarkStart w:id="13" w:name="_Toc15543602"/>
      <w:r w:rsidRPr="00EA21C7">
        <w:rPr>
          <w:rFonts w:asciiTheme="minorHAnsi" w:hAnsiTheme="minorHAnsi" w:cstheme="minorHAnsi"/>
        </w:rPr>
        <w:t>Palkon suosituslause</w:t>
      </w:r>
      <w:bookmarkEnd w:id="13"/>
    </w:p>
    <w:p w14:paraId="62982F2B" w14:textId="0E933DB6" w:rsidR="00327165" w:rsidRPr="00EA21C7" w:rsidRDefault="00327165" w:rsidP="002A1394">
      <w:pPr>
        <w:rPr>
          <w:rFonts w:cstheme="minorHAnsi"/>
        </w:rPr>
      </w:pPr>
    </w:p>
    <w:p w14:paraId="36EE06A1" w14:textId="77777777" w:rsidR="001A631A" w:rsidRPr="001A631A" w:rsidRDefault="001A631A" w:rsidP="001A631A">
      <w:pPr>
        <w:rPr>
          <w:rFonts w:cstheme="minorHAnsi"/>
        </w:rPr>
      </w:pPr>
      <w:r w:rsidRPr="001A631A">
        <w:rPr>
          <w:rFonts w:cstheme="minorHAnsi"/>
          <w:lang w:eastAsia="fi-FI"/>
        </w:rPr>
        <w:t>Semiplimabi ei kuulu kansalliseen palveluvalikoimaan paikallisesti edenneen tai etäpesäkkeisen ihon okasolusyövän hoidossa.</w:t>
      </w:r>
    </w:p>
    <w:p w14:paraId="64811CB6" w14:textId="6FF4B224" w:rsidR="001A631A" w:rsidRPr="001A631A" w:rsidRDefault="00050080" w:rsidP="001A631A">
      <w:pPr>
        <w:rPr>
          <w:rFonts w:cstheme="minorHAnsi"/>
        </w:rPr>
      </w:pPr>
      <w:r>
        <w:rPr>
          <w:rFonts w:cstheme="minorHAnsi"/>
        </w:rPr>
        <w:t>S</w:t>
      </w:r>
      <w:r w:rsidRPr="001A631A">
        <w:rPr>
          <w:rFonts w:cstheme="minorHAnsi"/>
        </w:rPr>
        <w:t>emiplimabin vaikuttavuude</w:t>
      </w:r>
      <w:r>
        <w:rPr>
          <w:rFonts w:cstheme="minorHAnsi"/>
        </w:rPr>
        <w:t>n arviointi</w:t>
      </w:r>
      <w:r w:rsidRPr="001A631A">
        <w:rPr>
          <w:rFonts w:cstheme="minorHAnsi"/>
        </w:rPr>
        <w:t xml:space="preserve"> </w:t>
      </w:r>
      <w:r w:rsidR="001A631A" w:rsidRPr="001A631A">
        <w:rPr>
          <w:rFonts w:cstheme="minorHAnsi"/>
        </w:rPr>
        <w:t xml:space="preserve">on toistaiseksi vaikeaa, koska tutkimustuloksiin liittyy poikkeuksellisen paljon epävarmuutta. </w:t>
      </w:r>
      <w:r w:rsidR="00A626ED">
        <w:rPr>
          <w:rFonts w:cstheme="minorHAnsi"/>
        </w:rPr>
        <w:t>Semiplimabi-</w:t>
      </w:r>
      <w:r w:rsidR="00A626ED" w:rsidRPr="001A631A">
        <w:rPr>
          <w:rFonts w:cstheme="minorHAnsi"/>
        </w:rPr>
        <w:t>hoitoa ei ole verrattu toiseen hoitoon ja tutkimusten seuranta-aika on vielä lyhyt</w:t>
      </w:r>
      <w:r w:rsidR="00A626ED">
        <w:rPr>
          <w:rFonts w:cstheme="minorHAnsi"/>
        </w:rPr>
        <w:t>.</w:t>
      </w:r>
      <w:r w:rsidR="00A626ED" w:rsidRPr="001A631A">
        <w:rPr>
          <w:rFonts w:cstheme="minorHAnsi"/>
        </w:rPr>
        <w:t xml:space="preserve"> </w:t>
      </w:r>
      <w:r w:rsidR="001A631A" w:rsidRPr="001A631A">
        <w:rPr>
          <w:rFonts w:cstheme="minorHAnsi"/>
        </w:rPr>
        <w:t xml:space="preserve">Semiplimabilla todettiin jonkin verran hoitovastetta ja sillä saattaa olla </w:t>
      </w:r>
      <w:r w:rsidR="001A631A" w:rsidRPr="001A631A">
        <w:rPr>
          <w:rFonts w:cstheme="minorHAnsi"/>
        </w:rPr>
        <w:lastRenderedPageBreak/>
        <w:t>vaikutusta potilaiden taudin etenemiseen. Ei</w:t>
      </w:r>
      <w:bookmarkStart w:id="14" w:name="_GoBack"/>
      <w:bookmarkEnd w:id="14"/>
      <w:r w:rsidR="001A631A" w:rsidRPr="001A631A">
        <w:rPr>
          <w:rFonts w:cstheme="minorHAnsi"/>
        </w:rPr>
        <w:t xml:space="preserve"> voida päätellä</w:t>
      </w:r>
      <w:r>
        <w:rPr>
          <w:rFonts w:cstheme="minorHAnsi"/>
        </w:rPr>
        <w:t>,</w:t>
      </w:r>
      <w:r w:rsidR="001A631A" w:rsidRPr="001A631A">
        <w:rPr>
          <w:rFonts w:cstheme="minorHAnsi"/>
        </w:rPr>
        <w:t xml:space="preserve"> johtaako saavutettu hoitovaste lopulta </w:t>
      </w:r>
      <w:r w:rsidRPr="001A631A">
        <w:rPr>
          <w:rFonts w:cstheme="minorHAnsi"/>
        </w:rPr>
        <w:t>elina</w:t>
      </w:r>
      <w:r>
        <w:rPr>
          <w:rFonts w:cstheme="minorHAnsi"/>
        </w:rPr>
        <w:t>ja</w:t>
      </w:r>
      <w:r w:rsidRPr="001A631A">
        <w:rPr>
          <w:rFonts w:cstheme="minorHAnsi"/>
        </w:rPr>
        <w:t>n</w:t>
      </w:r>
      <w:r>
        <w:rPr>
          <w:rFonts w:cstheme="minorHAnsi"/>
        </w:rPr>
        <w:t xml:space="preserve"> pidentymiseen</w:t>
      </w:r>
      <w:r w:rsidR="001A631A" w:rsidRPr="001A631A">
        <w:rPr>
          <w:rFonts w:cstheme="minorHAnsi"/>
        </w:rPr>
        <w:t xml:space="preserve">. </w:t>
      </w:r>
    </w:p>
    <w:p w14:paraId="4837643C" w14:textId="77777777" w:rsidR="001A631A" w:rsidRPr="001A631A" w:rsidRDefault="001A631A" w:rsidP="001A631A">
      <w:r w:rsidRPr="001A631A">
        <w:rPr>
          <w:rFonts w:cstheme="minorHAnsi"/>
        </w:rPr>
        <w:t>Tarvitaan lisää tutkimustietoa, ennen kuin voidaan tehdä päätelmiä semiplimabin vaikuttavuudesta ja hoidon kohdentamisesta siitä mahdollisesti hyötyville. Euroopan lääkevirasto EMA on myöntänyt valmisteelle ehdollisen myyntiluvan. Epävarmuustekijöistä johtuen myöskään Fimea ei ole esittänyt arviota semiplimabin kustannusvaikuttavuudesta.</w:t>
      </w:r>
    </w:p>
    <w:p w14:paraId="674BF7D3" w14:textId="07F233FC" w:rsidR="006B0DC9" w:rsidRDefault="006B0DC9" w:rsidP="002A1394">
      <w:pPr>
        <w:rPr>
          <w:rFonts w:cstheme="minorHAnsi"/>
          <w:sz w:val="23"/>
          <w:szCs w:val="23"/>
        </w:rPr>
      </w:pPr>
    </w:p>
    <w:p w14:paraId="7C6BBA3C" w14:textId="77777777" w:rsidR="009430E8" w:rsidRPr="00EA21C7" w:rsidRDefault="00A44503" w:rsidP="002B5984">
      <w:pPr>
        <w:pStyle w:val="Otsikko2"/>
        <w:rPr>
          <w:rFonts w:asciiTheme="minorHAnsi" w:hAnsiTheme="minorHAnsi" w:cstheme="minorHAnsi"/>
        </w:rPr>
      </w:pPr>
      <w:bookmarkStart w:id="15" w:name="_Toc15543603"/>
      <w:r w:rsidRPr="00EA21C7">
        <w:rPr>
          <w:rFonts w:asciiTheme="minorHAnsi" w:hAnsiTheme="minorHAnsi" w:cstheme="minorHAnsi"/>
        </w:rPr>
        <w:t>Lisänäytön kerääminen ja suositusten vaikutusten seuranta</w:t>
      </w:r>
      <w:bookmarkEnd w:id="15"/>
      <w:r w:rsidRPr="00EA21C7">
        <w:rPr>
          <w:rFonts w:asciiTheme="minorHAnsi" w:hAnsiTheme="minorHAnsi" w:cstheme="minorHAnsi"/>
        </w:rPr>
        <w:t xml:space="preserve"> </w:t>
      </w:r>
    </w:p>
    <w:p w14:paraId="54C8ADD3" w14:textId="77777777" w:rsidR="009430E8" w:rsidRPr="00EA21C7" w:rsidRDefault="009430E8" w:rsidP="002A1394">
      <w:pPr>
        <w:pStyle w:val="Otsikko2"/>
        <w:numPr>
          <w:ilvl w:val="0"/>
          <w:numId w:val="0"/>
        </w:numPr>
        <w:ind w:left="360"/>
        <w:rPr>
          <w:rFonts w:asciiTheme="minorHAnsi" w:hAnsiTheme="minorHAnsi" w:cstheme="minorHAnsi"/>
        </w:rPr>
      </w:pPr>
    </w:p>
    <w:p w14:paraId="54719CE3" w14:textId="1962FE59" w:rsidR="002A1394" w:rsidRPr="00EA21C7" w:rsidRDefault="00AF03C4" w:rsidP="009430E8">
      <w:pPr>
        <w:rPr>
          <w:rFonts w:cstheme="minorHAnsi"/>
        </w:rPr>
      </w:pPr>
      <w:r w:rsidRPr="00EA21C7">
        <w:rPr>
          <w:rFonts w:cstheme="minorHAnsi"/>
        </w:rPr>
        <w:t>Euroop</w:t>
      </w:r>
      <w:r w:rsidR="00EA21C7">
        <w:rPr>
          <w:rFonts w:cstheme="minorHAnsi"/>
        </w:rPr>
        <w:t>a</w:t>
      </w:r>
      <w:r w:rsidRPr="00EA21C7">
        <w:rPr>
          <w:rFonts w:cstheme="minorHAnsi"/>
        </w:rPr>
        <w:t>n lääkeviraston antaman e</w:t>
      </w:r>
      <w:r w:rsidR="009778F4" w:rsidRPr="00EA21C7">
        <w:rPr>
          <w:rFonts w:cstheme="minorHAnsi"/>
        </w:rPr>
        <w:t xml:space="preserve">hdollisen myyntiluvan yhteydessä myyntiluvan haltija velvoitettiin toimittamaan tutkimuksen 1540 seuranta-ajan tulokset </w:t>
      </w:r>
      <w:r w:rsidR="00150F02">
        <w:rPr>
          <w:rFonts w:cstheme="minorHAnsi"/>
        </w:rPr>
        <w:t xml:space="preserve">lokakuuhun </w:t>
      </w:r>
      <w:r w:rsidR="009778F4" w:rsidRPr="00BC1AD4">
        <w:rPr>
          <w:rFonts w:cstheme="minorHAnsi"/>
        </w:rPr>
        <w:t>2022</w:t>
      </w:r>
      <w:r w:rsidR="009778F4" w:rsidRPr="00EA21C7">
        <w:rPr>
          <w:rFonts w:cstheme="minorHAnsi"/>
        </w:rPr>
        <w:t xml:space="preserve"> mennessä</w:t>
      </w:r>
      <w:r w:rsidR="00965014" w:rsidRPr="00EA21C7">
        <w:rPr>
          <w:rFonts w:cstheme="minorHAnsi"/>
        </w:rPr>
        <w:t xml:space="preserve"> </w:t>
      </w:r>
      <w:r w:rsidR="00EA21C7">
        <w:rPr>
          <w:rFonts w:cstheme="minorHAnsi"/>
        </w:rPr>
        <w:t xml:space="preserve">(tiedonkeruu loppuu heinäkuussa 2021) </w:t>
      </w:r>
      <w:r w:rsidR="00965014" w:rsidRPr="00EA21C7">
        <w:rPr>
          <w:rFonts w:cstheme="minorHAnsi"/>
        </w:rPr>
        <w:t>sekä</w:t>
      </w:r>
      <w:r w:rsidR="009778F4" w:rsidRPr="00EA21C7">
        <w:rPr>
          <w:rFonts w:cstheme="minorHAnsi"/>
        </w:rPr>
        <w:t xml:space="preserve"> vuoden 2023 </w:t>
      </w:r>
      <w:r w:rsidR="00150F02">
        <w:rPr>
          <w:rFonts w:cstheme="minorHAnsi"/>
        </w:rPr>
        <w:t xml:space="preserve">maaliskuuhun </w:t>
      </w:r>
      <w:r w:rsidR="009778F4" w:rsidRPr="00EA21C7">
        <w:rPr>
          <w:rFonts w:cstheme="minorHAnsi"/>
        </w:rPr>
        <w:t xml:space="preserve">mennessä </w:t>
      </w:r>
      <w:r w:rsidR="00965014" w:rsidRPr="00EA21C7">
        <w:rPr>
          <w:rFonts w:cstheme="minorHAnsi"/>
        </w:rPr>
        <w:t>tutkimustietoa kiinteää 350mg annosta saaneiden potilaiden hoitotuloksista. Tässä vaiheessa saadaan tietoa myö</w:t>
      </w:r>
      <w:r w:rsidRPr="00EA21C7">
        <w:rPr>
          <w:rFonts w:cstheme="minorHAnsi"/>
        </w:rPr>
        <w:t>s</w:t>
      </w:r>
      <w:r w:rsidR="00965014" w:rsidRPr="00EA21C7">
        <w:rPr>
          <w:rFonts w:cstheme="minorHAnsi"/>
        </w:rPr>
        <w:t xml:space="preserve"> PD-L1 pitoisuuksien roolista hoidon tehoa ennustavana tekijänä.</w:t>
      </w:r>
      <w:r w:rsidR="009778F4" w:rsidRPr="00EA21C7">
        <w:rPr>
          <w:rFonts w:cstheme="minorHAnsi"/>
        </w:rPr>
        <w:t xml:space="preserve"> </w:t>
      </w:r>
      <w:r w:rsidR="009430E8" w:rsidRPr="00EA21C7">
        <w:rPr>
          <w:rFonts w:cstheme="minorHAnsi"/>
        </w:rPr>
        <w:t>NICE:n suositus tullaan päivittämään</w:t>
      </w:r>
      <w:r w:rsidR="00BC1AD4">
        <w:rPr>
          <w:rFonts w:cstheme="minorHAnsi"/>
        </w:rPr>
        <w:t xml:space="preserve">, </w:t>
      </w:r>
      <w:r w:rsidR="00EA21C7">
        <w:rPr>
          <w:rFonts w:cstheme="minorHAnsi"/>
        </w:rPr>
        <w:t>kun</w:t>
      </w:r>
      <w:r w:rsidR="009430E8" w:rsidRPr="00EA21C7">
        <w:rPr>
          <w:rFonts w:cstheme="minorHAnsi"/>
        </w:rPr>
        <w:t xml:space="preserve"> tutkimuksesta 1540 on saatavilla pitkän aikavälin </w:t>
      </w:r>
      <w:r w:rsidR="00BC1AD4">
        <w:rPr>
          <w:rFonts w:cstheme="minorHAnsi"/>
        </w:rPr>
        <w:t>kokonaiselossaoloaika</w:t>
      </w:r>
      <w:r w:rsidR="009430E8" w:rsidRPr="00EA21C7">
        <w:rPr>
          <w:rFonts w:cstheme="minorHAnsi"/>
        </w:rPr>
        <w:t xml:space="preserve"> ja </w:t>
      </w:r>
      <w:r w:rsidR="00BC1AD4">
        <w:rPr>
          <w:rFonts w:cstheme="minorHAnsi"/>
        </w:rPr>
        <w:t>e</w:t>
      </w:r>
      <w:r w:rsidR="00BC1AD4" w:rsidRPr="00EA21C7">
        <w:rPr>
          <w:rFonts w:cstheme="minorHAnsi"/>
          <w:color w:val="000000"/>
        </w:rPr>
        <w:t xml:space="preserve">lossaoloaika ennen taudin etenemistä </w:t>
      </w:r>
      <w:r w:rsidR="00BC1AD4">
        <w:rPr>
          <w:rFonts w:cstheme="minorHAnsi"/>
        </w:rPr>
        <w:t>tulokset</w:t>
      </w:r>
      <w:r w:rsidR="009430E8" w:rsidRPr="00EA21C7">
        <w:rPr>
          <w:rFonts w:cstheme="minorHAnsi"/>
        </w:rPr>
        <w:t>. Lisätietoa kerätään myös potilaista, jotka saavat nykyistä standardihoitoa edenneeseen ihon okasolusyöpään tai jotka saavat semiplimabi-hoitoa syöpärahaston puitteissa.</w:t>
      </w:r>
      <w:r w:rsidR="00965014" w:rsidRPr="00EA21C7">
        <w:rPr>
          <w:rFonts w:cstheme="minorHAnsi"/>
        </w:rPr>
        <w:t xml:space="preserve"> </w:t>
      </w:r>
    </w:p>
    <w:p w14:paraId="57930153" w14:textId="77777777" w:rsidR="004E7DC5" w:rsidRPr="00EA21C7" w:rsidRDefault="004E7DC5" w:rsidP="00D46311">
      <w:pPr>
        <w:pStyle w:val="Default"/>
        <w:spacing w:line="276" w:lineRule="auto"/>
        <w:rPr>
          <w:rFonts w:asciiTheme="minorHAnsi" w:hAnsiTheme="minorHAnsi" w:cstheme="minorHAnsi"/>
          <w:sz w:val="22"/>
          <w:szCs w:val="22"/>
        </w:rPr>
      </w:pPr>
    </w:p>
    <w:p w14:paraId="3270DB0D" w14:textId="38ECB859" w:rsidR="004E7DC5" w:rsidRPr="00EA21C7" w:rsidRDefault="004E7DC5" w:rsidP="00D46311">
      <w:pPr>
        <w:pStyle w:val="Default"/>
        <w:spacing w:line="276" w:lineRule="auto"/>
        <w:rPr>
          <w:rFonts w:asciiTheme="minorHAnsi" w:hAnsiTheme="minorHAnsi" w:cstheme="minorHAnsi"/>
          <w:b/>
          <w:sz w:val="28"/>
          <w:szCs w:val="28"/>
        </w:rPr>
      </w:pPr>
      <w:r w:rsidRPr="00EA21C7">
        <w:rPr>
          <w:rFonts w:asciiTheme="minorHAnsi" w:hAnsiTheme="minorHAnsi" w:cstheme="minorHAnsi"/>
          <w:b/>
          <w:sz w:val="28"/>
          <w:szCs w:val="28"/>
        </w:rPr>
        <w:t>Suosit</w:t>
      </w:r>
      <w:r w:rsidR="00C8380D" w:rsidRPr="00EA21C7">
        <w:rPr>
          <w:rFonts w:asciiTheme="minorHAnsi" w:hAnsiTheme="minorHAnsi" w:cstheme="minorHAnsi"/>
          <w:b/>
          <w:sz w:val="28"/>
          <w:szCs w:val="28"/>
        </w:rPr>
        <w:t>uksen valmistelu</w:t>
      </w:r>
    </w:p>
    <w:p w14:paraId="768B7581" w14:textId="77777777" w:rsidR="004E7DC5" w:rsidRPr="00EA21C7" w:rsidRDefault="004E7DC5" w:rsidP="00D46311">
      <w:pPr>
        <w:pStyle w:val="Default"/>
        <w:spacing w:line="276" w:lineRule="auto"/>
        <w:rPr>
          <w:rFonts w:asciiTheme="minorHAnsi" w:hAnsiTheme="minorHAnsi" w:cstheme="minorHAnsi"/>
          <w:sz w:val="22"/>
          <w:szCs w:val="22"/>
        </w:rPr>
      </w:pPr>
    </w:p>
    <w:p w14:paraId="0A75F7CD" w14:textId="364C6413" w:rsidR="004E7DC5" w:rsidRPr="00EA21C7" w:rsidRDefault="00FD6B7B" w:rsidP="004E7DC5">
      <w:pPr>
        <w:pStyle w:val="Default"/>
        <w:rPr>
          <w:rFonts w:asciiTheme="minorHAnsi" w:hAnsiTheme="minorHAnsi" w:cstheme="minorHAnsi"/>
          <w:sz w:val="22"/>
          <w:szCs w:val="22"/>
        </w:rPr>
      </w:pPr>
      <w:r w:rsidRPr="00EA21C7">
        <w:rPr>
          <w:rFonts w:asciiTheme="minorHAnsi" w:hAnsiTheme="minorHAnsi" w:cstheme="minorHAnsi"/>
          <w:sz w:val="22"/>
          <w:szCs w:val="22"/>
        </w:rPr>
        <w:t>Suositukse</w:t>
      </w:r>
      <w:r>
        <w:rPr>
          <w:rFonts w:asciiTheme="minorHAnsi" w:hAnsiTheme="minorHAnsi" w:cstheme="minorHAnsi"/>
          <w:sz w:val="22"/>
          <w:szCs w:val="22"/>
        </w:rPr>
        <w:t xml:space="preserve">n valmisteluun </w:t>
      </w:r>
      <w:r w:rsidR="004E7DC5" w:rsidRPr="00EA21C7">
        <w:rPr>
          <w:rFonts w:asciiTheme="minorHAnsi" w:hAnsiTheme="minorHAnsi" w:cstheme="minorHAnsi"/>
          <w:sz w:val="22"/>
          <w:szCs w:val="22"/>
        </w:rPr>
        <w:t xml:space="preserve">Palkon lääkejaostossa </w:t>
      </w:r>
      <w:r>
        <w:rPr>
          <w:rFonts w:asciiTheme="minorHAnsi" w:hAnsiTheme="minorHAnsi" w:cstheme="minorHAnsi"/>
          <w:sz w:val="22"/>
          <w:szCs w:val="22"/>
        </w:rPr>
        <w:t>ovat osallistuneet</w:t>
      </w:r>
      <w:r w:rsidR="004E7DC5" w:rsidRPr="00EA21C7">
        <w:rPr>
          <w:rFonts w:asciiTheme="minorHAnsi" w:hAnsiTheme="minorHAnsi" w:cstheme="minorHAnsi"/>
          <w:sz w:val="22"/>
          <w:szCs w:val="22"/>
        </w:rPr>
        <w:t xml:space="preserve">: </w:t>
      </w:r>
    </w:p>
    <w:p w14:paraId="7D2DDE1F" w14:textId="77777777" w:rsidR="004E7DC5" w:rsidRPr="00EA21C7" w:rsidRDefault="004E7DC5" w:rsidP="004E7DC5">
      <w:pPr>
        <w:pStyle w:val="Default"/>
        <w:rPr>
          <w:rFonts w:asciiTheme="minorHAnsi" w:hAnsiTheme="minorHAnsi" w:cstheme="minorHAnsi"/>
          <w:sz w:val="22"/>
          <w:szCs w:val="22"/>
        </w:rPr>
      </w:pPr>
    </w:p>
    <w:p w14:paraId="6AB039D4" w14:textId="0222694A"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Puheenjohtaja: Miia Turpeinen, arviointiylilääkäri, Pohjois-Pohjanmaan sairaanhoitopiiri </w:t>
      </w:r>
    </w:p>
    <w:p w14:paraId="0730E2B8" w14:textId="77777777" w:rsidR="004E7DC5" w:rsidRPr="00EA21C7" w:rsidRDefault="004E7DC5" w:rsidP="004E7DC5">
      <w:pPr>
        <w:pStyle w:val="Default"/>
        <w:rPr>
          <w:rFonts w:asciiTheme="minorHAnsi" w:hAnsiTheme="minorHAnsi" w:cstheme="minorHAnsi"/>
          <w:sz w:val="22"/>
          <w:szCs w:val="22"/>
        </w:rPr>
      </w:pPr>
    </w:p>
    <w:p w14:paraId="05A7695D" w14:textId="3D87360A"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Jäsenet: </w:t>
      </w:r>
    </w:p>
    <w:p w14:paraId="0281C51E" w14:textId="77777777"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professori Risto Huupponen, Turun yliopisto </w:t>
      </w:r>
    </w:p>
    <w:p w14:paraId="4773C971" w14:textId="6493C12C"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 </w:t>
      </w:r>
    </w:p>
    <w:p w14:paraId="4003E113" w14:textId="77777777"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dosentti Heikki Lukkarinen, Varsinais-Suomen sairaanhoitopiiri </w:t>
      </w:r>
    </w:p>
    <w:p w14:paraId="6FDE6B65" w14:textId="77777777"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professori Marja Blom, Helsingin yliopisto </w:t>
      </w:r>
    </w:p>
    <w:p w14:paraId="42CAE532" w14:textId="77777777"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lääketaloustieteilijä Piia Rannanheimo, Fimea </w:t>
      </w:r>
    </w:p>
    <w:p w14:paraId="7CC79164" w14:textId="77777777"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johtajaylilääkäri Vesa Kataja, Keski-Suomen sairaanhoitopiiri </w:t>
      </w:r>
    </w:p>
    <w:p w14:paraId="0F21AE8E" w14:textId="1366A647"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ylilääkäri Asko Järvinen, Helsingin ja Uudenmaan sairaanhoitopiiri </w:t>
      </w:r>
    </w:p>
    <w:p w14:paraId="1A322F91" w14:textId="6405BDD8" w:rsidR="004E7DC5" w:rsidRPr="00EA21C7" w:rsidRDefault="004E7DC5" w:rsidP="004E7DC5">
      <w:pPr>
        <w:pStyle w:val="Default"/>
        <w:rPr>
          <w:rFonts w:asciiTheme="minorHAnsi" w:hAnsiTheme="minorHAnsi" w:cstheme="minorHAnsi"/>
          <w:sz w:val="22"/>
          <w:szCs w:val="22"/>
        </w:rPr>
      </w:pPr>
      <w:r w:rsidRPr="00EA21C7">
        <w:rPr>
          <w:rFonts w:asciiTheme="minorHAnsi" w:hAnsiTheme="minorHAnsi" w:cstheme="minorHAnsi"/>
          <w:sz w:val="22"/>
          <w:szCs w:val="22"/>
        </w:rPr>
        <w:t xml:space="preserve">arviointiylilääkäri Anna-Kaisa Parkkila, Pirkanmaan sairaanhoitopiiri </w:t>
      </w:r>
    </w:p>
    <w:p w14:paraId="6F01C79A" w14:textId="4B50EF52" w:rsidR="004E7DC5" w:rsidRPr="00EA21C7" w:rsidRDefault="004E7DC5" w:rsidP="004E7DC5">
      <w:pPr>
        <w:pStyle w:val="Default"/>
        <w:spacing w:line="276" w:lineRule="auto"/>
        <w:rPr>
          <w:rFonts w:asciiTheme="minorHAnsi" w:hAnsiTheme="minorHAnsi" w:cstheme="minorHAnsi"/>
          <w:sz w:val="22"/>
          <w:szCs w:val="22"/>
        </w:rPr>
      </w:pPr>
      <w:r w:rsidRPr="00EA21C7">
        <w:rPr>
          <w:rFonts w:asciiTheme="minorHAnsi" w:hAnsiTheme="minorHAnsi" w:cstheme="minorHAnsi"/>
          <w:sz w:val="22"/>
          <w:szCs w:val="22"/>
        </w:rPr>
        <w:t xml:space="preserve">dosentti Sirkku Jyrkkiö, Varsinais-Suomen sairaanhoitopiiri </w:t>
      </w:r>
    </w:p>
    <w:p w14:paraId="297A9708" w14:textId="77777777" w:rsidR="004E7DC5" w:rsidRPr="00EA21C7" w:rsidRDefault="004E7DC5" w:rsidP="004E7DC5">
      <w:pPr>
        <w:autoSpaceDE w:val="0"/>
        <w:autoSpaceDN w:val="0"/>
        <w:adjustRightInd w:val="0"/>
        <w:spacing w:after="0" w:line="240" w:lineRule="auto"/>
        <w:rPr>
          <w:rFonts w:cstheme="minorHAnsi"/>
          <w:color w:val="000000"/>
        </w:rPr>
      </w:pPr>
    </w:p>
    <w:p w14:paraId="77C4748D" w14:textId="16C4802E" w:rsidR="009E0147" w:rsidRPr="00EA21C7" w:rsidRDefault="004E7DC5" w:rsidP="004E7DC5">
      <w:pPr>
        <w:autoSpaceDE w:val="0"/>
        <w:autoSpaceDN w:val="0"/>
        <w:adjustRightInd w:val="0"/>
        <w:spacing w:after="0" w:line="240" w:lineRule="auto"/>
        <w:rPr>
          <w:rFonts w:cstheme="minorHAnsi"/>
          <w:color w:val="000000"/>
        </w:rPr>
      </w:pPr>
      <w:r w:rsidRPr="00EA21C7">
        <w:rPr>
          <w:rFonts w:cstheme="minorHAnsi"/>
          <w:color w:val="000000"/>
        </w:rPr>
        <w:t>Jaoston vastuusihteereinä ovat toimineet erityisasiantuntijat Reima Palonen ja Ilona Autti-Rämö</w:t>
      </w:r>
      <w:r w:rsidR="008D09C1">
        <w:rPr>
          <w:rFonts w:cstheme="minorHAnsi"/>
          <w:color w:val="000000"/>
        </w:rPr>
        <w:t xml:space="preserve"> </w:t>
      </w:r>
      <w:r w:rsidR="00DA5A4B">
        <w:rPr>
          <w:rFonts w:cstheme="minorHAnsi"/>
          <w:color w:val="000000"/>
        </w:rPr>
        <w:t>ja</w:t>
      </w:r>
      <w:r w:rsidR="00DA5A4B" w:rsidRPr="00EA21C7">
        <w:rPr>
          <w:rFonts w:cstheme="minorHAnsi"/>
          <w:color w:val="000000"/>
        </w:rPr>
        <w:t xml:space="preserve"> Sinikka</w:t>
      </w:r>
      <w:r w:rsidR="008D09C1" w:rsidRPr="00EA21C7">
        <w:rPr>
          <w:rFonts w:cstheme="minorHAnsi"/>
          <w:color w:val="000000"/>
        </w:rPr>
        <w:t xml:space="preserve"> Sihvo </w:t>
      </w:r>
      <w:r w:rsidR="009E0147" w:rsidRPr="00EA21C7">
        <w:rPr>
          <w:rFonts w:cstheme="minorHAnsi"/>
          <w:color w:val="000000"/>
        </w:rPr>
        <w:t xml:space="preserve">sekä osa-aikaisena sihteerinä LT, syöpätautien erikoislääkäri Katariina </w:t>
      </w:r>
      <w:r w:rsidR="007908E7" w:rsidRPr="00EA21C7">
        <w:rPr>
          <w:rFonts w:cstheme="minorHAnsi"/>
          <w:color w:val="000000"/>
        </w:rPr>
        <w:t>Klintrup</w:t>
      </w:r>
      <w:r w:rsidR="007908E7">
        <w:rPr>
          <w:rFonts w:cstheme="minorHAnsi"/>
          <w:color w:val="000000"/>
        </w:rPr>
        <w:t>.</w:t>
      </w:r>
    </w:p>
    <w:p w14:paraId="288E6F87" w14:textId="05570E18" w:rsidR="004E7DC5" w:rsidRPr="00EA21C7" w:rsidRDefault="004E7DC5" w:rsidP="004E7DC5">
      <w:pPr>
        <w:autoSpaceDE w:val="0"/>
        <w:autoSpaceDN w:val="0"/>
        <w:adjustRightInd w:val="0"/>
        <w:spacing w:after="0" w:line="240" w:lineRule="auto"/>
        <w:rPr>
          <w:rFonts w:cstheme="minorHAnsi"/>
          <w:color w:val="000000"/>
        </w:rPr>
      </w:pPr>
      <w:r w:rsidRPr="00EA21C7">
        <w:rPr>
          <w:rFonts w:cstheme="minorHAnsi"/>
          <w:color w:val="000000"/>
        </w:rPr>
        <w:t xml:space="preserve"> </w:t>
      </w:r>
    </w:p>
    <w:p w14:paraId="7B59438A" w14:textId="77777777" w:rsidR="004E7DC5" w:rsidRPr="00EA21C7" w:rsidRDefault="004E7DC5" w:rsidP="004E7DC5">
      <w:pPr>
        <w:autoSpaceDE w:val="0"/>
        <w:autoSpaceDN w:val="0"/>
        <w:adjustRightInd w:val="0"/>
        <w:spacing w:after="0" w:line="240" w:lineRule="auto"/>
        <w:rPr>
          <w:rFonts w:cstheme="minorHAnsi"/>
          <w:color w:val="000000"/>
        </w:rPr>
      </w:pPr>
      <w:r w:rsidRPr="00EA21C7">
        <w:rPr>
          <w:rFonts w:cstheme="minorHAnsi"/>
          <w:color w:val="000000"/>
        </w:rPr>
        <w:t xml:space="preserve">Jaoston tehtävänä on valmistella sairaalalääkkeitä koskevia suosituksia. </w:t>
      </w:r>
    </w:p>
    <w:p w14:paraId="1F6CF7E9" w14:textId="77777777" w:rsidR="009E0147" w:rsidRPr="00EA21C7" w:rsidRDefault="009E0147" w:rsidP="004E7DC5">
      <w:pPr>
        <w:autoSpaceDE w:val="0"/>
        <w:autoSpaceDN w:val="0"/>
        <w:adjustRightInd w:val="0"/>
        <w:spacing w:after="0" w:line="240" w:lineRule="auto"/>
        <w:rPr>
          <w:rFonts w:cstheme="minorHAnsi"/>
          <w:b/>
          <w:bCs/>
          <w:color w:val="000000"/>
        </w:rPr>
      </w:pPr>
    </w:p>
    <w:p w14:paraId="4197E42D" w14:textId="77777777" w:rsidR="009430E8" w:rsidRPr="00EA21C7" w:rsidRDefault="009430E8" w:rsidP="004E7DC5">
      <w:pPr>
        <w:autoSpaceDE w:val="0"/>
        <w:autoSpaceDN w:val="0"/>
        <w:adjustRightInd w:val="0"/>
        <w:spacing w:after="0" w:line="240" w:lineRule="auto"/>
        <w:rPr>
          <w:rFonts w:cstheme="minorHAnsi"/>
          <w:b/>
          <w:bCs/>
          <w:color w:val="000000"/>
        </w:rPr>
      </w:pPr>
    </w:p>
    <w:p w14:paraId="4EA3301F" w14:textId="77777777" w:rsidR="009430E8" w:rsidRPr="00EA21C7" w:rsidRDefault="009430E8" w:rsidP="004E7DC5">
      <w:pPr>
        <w:autoSpaceDE w:val="0"/>
        <w:autoSpaceDN w:val="0"/>
        <w:adjustRightInd w:val="0"/>
        <w:spacing w:after="0" w:line="240" w:lineRule="auto"/>
        <w:rPr>
          <w:rFonts w:cstheme="minorHAnsi"/>
          <w:b/>
          <w:bCs/>
          <w:color w:val="000000"/>
        </w:rPr>
      </w:pPr>
    </w:p>
    <w:p w14:paraId="2A80F980" w14:textId="575ABA20" w:rsidR="004E7DC5" w:rsidRPr="00EA21C7" w:rsidRDefault="004E7DC5" w:rsidP="004E7DC5">
      <w:pPr>
        <w:autoSpaceDE w:val="0"/>
        <w:autoSpaceDN w:val="0"/>
        <w:adjustRightInd w:val="0"/>
        <w:spacing w:after="0" w:line="240" w:lineRule="auto"/>
        <w:rPr>
          <w:rFonts w:cstheme="minorHAnsi"/>
          <w:color w:val="000000"/>
        </w:rPr>
      </w:pPr>
      <w:r w:rsidRPr="00EA21C7">
        <w:rPr>
          <w:rFonts w:cstheme="minorHAnsi"/>
          <w:b/>
          <w:bCs/>
          <w:color w:val="000000"/>
        </w:rPr>
        <w:t xml:space="preserve">Suosituksen valmistelun vaiheet </w:t>
      </w:r>
    </w:p>
    <w:p w14:paraId="0F0D9A32" w14:textId="77777777" w:rsidR="009E0147" w:rsidRPr="00EA21C7" w:rsidRDefault="009E0147" w:rsidP="004E7DC5">
      <w:pPr>
        <w:autoSpaceDE w:val="0"/>
        <w:autoSpaceDN w:val="0"/>
        <w:adjustRightInd w:val="0"/>
        <w:spacing w:after="0" w:line="240" w:lineRule="auto"/>
        <w:rPr>
          <w:rFonts w:cstheme="minorHAnsi"/>
          <w:color w:val="000000"/>
        </w:rPr>
      </w:pPr>
    </w:p>
    <w:p w14:paraId="30F05A6C" w14:textId="40B3D3AF" w:rsidR="004E7DC5" w:rsidRPr="00EA21C7" w:rsidRDefault="00E61842" w:rsidP="004E7DC5">
      <w:pPr>
        <w:autoSpaceDE w:val="0"/>
        <w:autoSpaceDN w:val="0"/>
        <w:adjustRightInd w:val="0"/>
        <w:spacing w:after="0" w:line="240" w:lineRule="auto"/>
        <w:rPr>
          <w:rFonts w:cstheme="minorHAnsi"/>
          <w:color w:val="000000"/>
        </w:rPr>
      </w:pPr>
      <w:r w:rsidRPr="00EA21C7">
        <w:rPr>
          <w:rFonts w:cstheme="minorHAnsi"/>
          <w:color w:val="000000"/>
        </w:rPr>
        <w:t>Lokakuu</w:t>
      </w:r>
      <w:r w:rsidR="00737FA7" w:rsidRPr="00EA21C7">
        <w:rPr>
          <w:rFonts w:cstheme="minorHAnsi"/>
          <w:color w:val="000000"/>
        </w:rPr>
        <w:t xml:space="preserve"> 2019</w:t>
      </w:r>
      <w:r w:rsidR="004E7DC5" w:rsidRPr="00EA21C7">
        <w:rPr>
          <w:rFonts w:cstheme="minorHAnsi"/>
          <w:color w:val="000000"/>
        </w:rPr>
        <w:t xml:space="preserve"> Fimean arviointiraportin julkaisu </w:t>
      </w:r>
    </w:p>
    <w:p w14:paraId="7CBDAA4B" w14:textId="5D5EFA15" w:rsidR="009430E8" w:rsidRPr="00EA21C7" w:rsidRDefault="009430E8" w:rsidP="004E7DC5">
      <w:pPr>
        <w:pStyle w:val="Default"/>
        <w:spacing w:line="276" w:lineRule="auto"/>
        <w:rPr>
          <w:rFonts w:asciiTheme="minorHAnsi" w:hAnsiTheme="minorHAnsi" w:cstheme="minorHAnsi"/>
          <w:sz w:val="22"/>
          <w:szCs w:val="22"/>
        </w:rPr>
      </w:pPr>
      <w:r w:rsidRPr="00EA21C7">
        <w:rPr>
          <w:rFonts w:asciiTheme="minorHAnsi" w:hAnsiTheme="minorHAnsi" w:cstheme="minorHAnsi"/>
          <w:sz w:val="22"/>
          <w:szCs w:val="22"/>
        </w:rPr>
        <w:t>14.</w:t>
      </w:r>
      <w:r w:rsidR="009778F4" w:rsidRPr="00EA21C7">
        <w:rPr>
          <w:rFonts w:asciiTheme="minorHAnsi" w:hAnsiTheme="minorHAnsi" w:cstheme="minorHAnsi"/>
          <w:sz w:val="22"/>
          <w:szCs w:val="22"/>
        </w:rPr>
        <w:t>10</w:t>
      </w:r>
      <w:r w:rsidRPr="00EA21C7">
        <w:rPr>
          <w:rFonts w:asciiTheme="minorHAnsi" w:hAnsiTheme="minorHAnsi" w:cstheme="minorHAnsi"/>
          <w:sz w:val="22"/>
          <w:szCs w:val="22"/>
        </w:rPr>
        <w:t>.2019 Alustava käsittely lääkejaostossa</w:t>
      </w:r>
    </w:p>
    <w:p w14:paraId="3B83ACC7" w14:textId="6C9650B0" w:rsidR="004E7DC5" w:rsidRPr="007908E7" w:rsidRDefault="00DA5A4B" w:rsidP="00D46311">
      <w:pPr>
        <w:pStyle w:val="Default"/>
        <w:spacing w:line="276" w:lineRule="auto"/>
        <w:rPr>
          <w:rFonts w:asciiTheme="minorHAnsi" w:hAnsiTheme="minorHAnsi" w:cstheme="minorHAnsi"/>
          <w:color w:val="auto"/>
          <w:sz w:val="22"/>
          <w:szCs w:val="22"/>
        </w:rPr>
      </w:pPr>
      <w:r w:rsidRPr="007908E7">
        <w:rPr>
          <w:rFonts w:asciiTheme="minorHAnsi" w:hAnsiTheme="minorHAnsi" w:cstheme="minorHAnsi"/>
          <w:color w:val="auto"/>
          <w:sz w:val="22"/>
          <w:szCs w:val="22"/>
        </w:rPr>
        <w:t>29.10.2019 suositusluonnoksen</w:t>
      </w:r>
      <w:r w:rsidR="009430E8" w:rsidRPr="007908E7">
        <w:rPr>
          <w:rFonts w:asciiTheme="minorHAnsi" w:hAnsiTheme="minorHAnsi" w:cstheme="minorHAnsi"/>
          <w:color w:val="auto"/>
          <w:sz w:val="22"/>
          <w:szCs w:val="22"/>
        </w:rPr>
        <w:t xml:space="preserve"> käsittely Palkossa</w:t>
      </w:r>
    </w:p>
    <w:p w14:paraId="607732EA" w14:textId="6E060455" w:rsidR="00210538" w:rsidRPr="007908E7" w:rsidRDefault="00D21D96" w:rsidP="00D46311">
      <w:pPr>
        <w:pStyle w:val="Default"/>
        <w:spacing w:line="276" w:lineRule="auto"/>
        <w:rPr>
          <w:rFonts w:asciiTheme="minorHAnsi" w:hAnsiTheme="minorHAnsi" w:cstheme="minorHAnsi"/>
          <w:color w:val="auto"/>
          <w:sz w:val="22"/>
          <w:szCs w:val="22"/>
        </w:rPr>
      </w:pPr>
      <w:r w:rsidRPr="007908E7">
        <w:rPr>
          <w:rFonts w:asciiTheme="minorHAnsi" w:hAnsiTheme="minorHAnsi" w:cstheme="minorHAnsi"/>
          <w:color w:val="auto"/>
          <w:sz w:val="22"/>
          <w:szCs w:val="22"/>
        </w:rPr>
        <w:t>30</w:t>
      </w:r>
      <w:r w:rsidR="00210538" w:rsidRPr="007908E7">
        <w:rPr>
          <w:rFonts w:asciiTheme="minorHAnsi" w:hAnsiTheme="minorHAnsi" w:cstheme="minorHAnsi"/>
          <w:color w:val="auto"/>
          <w:sz w:val="22"/>
          <w:szCs w:val="22"/>
        </w:rPr>
        <w:t>.</w:t>
      </w:r>
      <w:r w:rsidR="008B027C">
        <w:rPr>
          <w:rFonts w:asciiTheme="minorHAnsi" w:hAnsiTheme="minorHAnsi" w:cstheme="minorHAnsi"/>
          <w:color w:val="auto"/>
          <w:sz w:val="22"/>
          <w:szCs w:val="22"/>
        </w:rPr>
        <w:t>10-17-</w:t>
      </w:r>
      <w:r w:rsidR="00210538" w:rsidRPr="007908E7">
        <w:rPr>
          <w:rFonts w:asciiTheme="minorHAnsi" w:hAnsiTheme="minorHAnsi" w:cstheme="minorHAnsi"/>
          <w:color w:val="auto"/>
          <w:sz w:val="22"/>
          <w:szCs w:val="22"/>
        </w:rPr>
        <w:t xml:space="preserve">11.2019 julkaistaan </w:t>
      </w:r>
      <w:r w:rsidR="00FD6B7B" w:rsidRPr="007908E7">
        <w:rPr>
          <w:rFonts w:asciiTheme="minorHAnsi" w:hAnsiTheme="minorHAnsi" w:cstheme="minorHAnsi"/>
          <w:color w:val="auto"/>
          <w:sz w:val="22"/>
          <w:szCs w:val="22"/>
        </w:rPr>
        <w:t xml:space="preserve">kommentoitavaksi </w:t>
      </w:r>
      <w:r w:rsidR="00210538" w:rsidRPr="007908E7">
        <w:rPr>
          <w:rFonts w:asciiTheme="minorHAnsi" w:hAnsiTheme="minorHAnsi" w:cstheme="minorHAnsi"/>
          <w:color w:val="auto"/>
          <w:sz w:val="22"/>
          <w:szCs w:val="22"/>
        </w:rPr>
        <w:t>otakanta</w:t>
      </w:r>
      <w:r w:rsidR="00FD6B7B" w:rsidRPr="007908E7">
        <w:rPr>
          <w:rFonts w:asciiTheme="minorHAnsi" w:hAnsiTheme="minorHAnsi" w:cstheme="minorHAnsi"/>
          <w:color w:val="auto"/>
          <w:sz w:val="22"/>
          <w:szCs w:val="22"/>
        </w:rPr>
        <w:t>a</w:t>
      </w:r>
      <w:r w:rsidR="00210538" w:rsidRPr="007908E7">
        <w:rPr>
          <w:rFonts w:asciiTheme="minorHAnsi" w:hAnsiTheme="minorHAnsi" w:cstheme="minorHAnsi"/>
          <w:color w:val="auto"/>
          <w:sz w:val="22"/>
          <w:szCs w:val="22"/>
        </w:rPr>
        <w:t>.</w:t>
      </w:r>
      <w:r w:rsidRPr="007908E7">
        <w:rPr>
          <w:rFonts w:asciiTheme="minorHAnsi" w:hAnsiTheme="minorHAnsi" w:cstheme="minorHAnsi"/>
          <w:color w:val="auto"/>
          <w:sz w:val="22"/>
          <w:szCs w:val="22"/>
        </w:rPr>
        <w:t>fi-</w:t>
      </w:r>
      <w:r w:rsidR="00210538" w:rsidRPr="007908E7">
        <w:rPr>
          <w:rFonts w:asciiTheme="minorHAnsi" w:hAnsiTheme="minorHAnsi" w:cstheme="minorHAnsi"/>
          <w:color w:val="auto"/>
          <w:sz w:val="22"/>
          <w:szCs w:val="22"/>
        </w:rPr>
        <w:t>palvelussa</w:t>
      </w:r>
      <w:r w:rsidRPr="007908E7">
        <w:rPr>
          <w:rFonts w:asciiTheme="minorHAnsi" w:hAnsiTheme="minorHAnsi" w:cstheme="minorHAnsi"/>
          <w:color w:val="auto"/>
          <w:sz w:val="22"/>
          <w:szCs w:val="22"/>
        </w:rPr>
        <w:t xml:space="preserve"> </w:t>
      </w:r>
    </w:p>
    <w:p w14:paraId="3B15587C" w14:textId="77777777" w:rsidR="00210538" w:rsidRPr="00EA21C7" w:rsidRDefault="00210538" w:rsidP="00D46311">
      <w:pPr>
        <w:pStyle w:val="Default"/>
        <w:spacing w:line="276" w:lineRule="auto"/>
        <w:rPr>
          <w:rFonts w:asciiTheme="minorHAnsi" w:hAnsiTheme="minorHAnsi" w:cstheme="minorHAnsi"/>
          <w:sz w:val="22"/>
          <w:szCs w:val="22"/>
        </w:rPr>
      </w:pPr>
    </w:p>
    <w:p w14:paraId="36EF62AD" w14:textId="1E9A07C1" w:rsidR="009430E8" w:rsidRDefault="009430E8" w:rsidP="00D46311">
      <w:pPr>
        <w:pStyle w:val="Default"/>
        <w:spacing w:line="276" w:lineRule="auto"/>
        <w:rPr>
          <w:rFonts w:asciiTheme="minorHAnsi" w:hAnsiTheme="minorHAnsi" w:cstheme="minorHAnsi"/>
          <w:sz w:val="22"/>
          <w:szCs w:val="22"/>
        </w:rPr>
      </w:pPr>
    </w:p>
    <w:p w14:paraId="16282F9D" w14:textId="4574BE91" w:rsidR="00732357" w:rsidRDefault="00732357" w:rsidP="00D46311">
      <w:pPr>
        <w:pStyle w:val="Default"/>
        <w:spacing w:line="276" w:lineRule="auto"/>
        <w:rPr>
          <w:rFonts w:asciiTheme="minorHAnsi" w:hAnsiTheme="minorHAnsi" w:cstheme="minorHAnsi"/>
          <w:sz w:val="22"/>
          <w:szCs w:val="22"/>
        </w:rPr>
      </w:pPr>
    </w:p>
    <w:p w14:paraId="3111476D" w14:textId="77777777" w:rsidR="00732357" w:rsidRDefault="00732357" w:rsidP="00D46311">
      <w:pPr>
        <w:pStyle w:val="Default"/>
        <w:spacing w:line="276" w:lineRule="auto"/>
        <w:rPr>
          <w:rFonts w:asciiTheme="minorHAnsi" w:hAnsiTheme="minorHAnsi" w:cstheme="minorHAnsi"/>
          <w:b/>
          <w:sz w:val="28"/>
          <w:szCs w:val="28"/>
        </w:rPr>
      </w:pPr>
    </w:p>
    <w:p w14:paraId="0EFB29D4" w14:textId="3D6FAC8F" w:rsidR="004E7DC5" w:rsidRDefault="004E7DC5" w:rsidP="00D46311">
      <w:pPr>
        <w:pStyle w:val="Default"/>
        <w:spacing w:line="276" w:lineRule="auto"/>
        <w:rPr>
          <w:rFonts w:asciiTheme="minorHAnsi" w:hAnsiTheme="minorHAnsi" w:cstheme="minorHAnsi"/>
          <w:b/>
          <w:sz w:val="28"/>
          <w:szCs w:val="28"/>
        </w:rPr>
      </w:pPr>
      <w:r w:rsidRPr="00EA21C7">
        <w:rPr>
          <w:rFonts w:asciiTheme="minorHAnsi" w:hAnsiTheme="minorHAnsi" w:cstheme="minorHAnsi"/>
          <w:b/>
          <w:sz w:val="28"/>
          <w:szCs w:val="28"/>
        </w:rPr>
        <w:t>Lähteet</w:t>
      </w:r>
    </w:p>
    <w:p w14:paraId="003BC990" w14:textId="77777777" w:rsidR="0026220A" w:rsidRDefault="0026220A" w:rsidP="00D46311">
      <w:pPr>
        <w:pStyle w:val="Default"/>
        <w:spacing w:line="276" w:lineRule="auto"/>
        <w:rPr>
          <w:rFonts w:asciiTheme="minorHAnsi" w:hAnsiTheme="minorHAnsi" w:cstheme="minorHAnsi"/>
          <w:b/>
          <w:sz w:val="28"/>
          <w:szCs w:val="28"/>
        </w:rPr>
      </w:pPr>
    </w:p>
    <w:p w14:paraId="1C0ACE12" w14:textId="151D53E8" w:rsidR="00773CCB" w:rsidRPr="001B50D4" w:rsidRDefault="00773CCB" w:rsidP="001B50D4">
      <w:pPr>
        <w:autoSpaceDE w:val="0"/>
        <w:autoSpaceDN w:val="0"/>
        <w:adjustRightInd w:val="0"/>
        <w:spacing w:after="0" w:line="240" w:lineRule="auto"/>
        <w:rPr>
          <w:rFonts w:cstheme="minorHAnsi"/>
          <w:b/>
          <w:lang w:val="en-US"/>
        </w:rPr>
      </w:pPr>
      <w:r w:rsidRPr="00453A3E">
        <w:rPr>
          <w:rFonts w:cstheme="minorHAnsi"/>
        </w:rPr>
        <w:t>Eisenhauer EA, ym</w:t>
      </w:r>
      <w:r w:rsidRPr="00453A3E">
        <w:rPr>
          <w:rFonts w:cstheme="minorHAnsi"/>
          <w:b/>
        </w:rPr>
        <w:t xml:space="preserve">. </w:t>
      </w:r>
      <w:r w:rsidRPr="001B50D4">
        <w:rPr>
          <w:rFonts w:cstheme="minorHAnsi"/>
          <w:lang w:val="en-US"/>
        </w:rPr>
        <w:t>New response evaluation criteria in solid tumours:</w:t>
      </w:r>
      <w:r>
        <w:rPr>
          <w:rFonts w:cstheme="minorHAnsi"/>
          <w:lang w:val="en-US"/>
        </w:rPr>
        <w:t xml:space="preserve"> </w:t>
      </w:r>
      <w:r w:rsidRPr="001B50D4">
        <w:rPr>
          <w:rFonts w:cstheme="minorHAnsi"/>
          <w:lang w:val="en-US"/>
        </w:rPr>
        <w:t xml:space="preserve">Revised RECIST guideline (version 1.1) Eur J Cancer 2009; </w:t>
      </w:r>
      <w:r>
        <w:rPr>
          <w:rFonts w:cstheme="minorHAnsi"/>
          <w:lang w:val="en-US"/>
        </w:rPr>
        <w:t xml:space="preserve">45:228-47. </w:t>
      </w:r>
    </w:p>
    <w:p w14:paraId="6FBB8AF7" w14:textId="77777777" w:rsidR="00732357" w:rsidRPr="001B50D4" w:rsidRDefault="00732357" w:rsidP="004E7DC5">
      <w:pPr>
        <w:pStyle w:val="Default"/>
        <w:rPr>
          <w:rFonts w:asciiTheme="minorHAnsi" w:hAnsiTheme="minorHAnsi" w:cstheme="minorHAnsi"/>
          <w:sz w:val="22"/>
          <w:szCs w:val="22"/>
          <w:lang w:val="en-US"/>
        </w:rPr>
      </w:pPr>
    </w:p>
    <w:p w14:paraId="15111D5E" w14:textId="77777777" w:rsidR="00AB1D52" w:rsidRPr="00CC38BD" w:rsidRDefault="00AB1D52" w:rsidP="00AB1D52">
      <w:pPr>
        <w:rPr>
          <w:rStyle w:val="Hyperlinkki"/>
          <w:rFonts w:cstheme="minorHAnsi"/>
        </w:rPr>
      </w:pPr>
      <w:r w:rsidRPr="002B606D">
        <w:rPr>
          <w:rStyle w:val="Hyperlinkki"/>
          <w:rFonts w:cstheme="minorHAnsi"/>
          <w:color w:val="auto"/>
          <w:lang w:val="en-US"/>
        </w:rPr>
        <w:t xml:space="preserve">European Medicines Agency. Libtayo. EPAR. </w:t>
      </w:r>
      <w:hyperlink r:id="rId12" w:history="1">
        <w:r w:rsidRPr="00CC38BD">
          <w:rPr>
            <w:rStyle w:val="Hyperlinkki"/>
            <w:rFonts w:cstheme="minorHAnsi"/>
          </w:rPr>
          <w:t>https://www.ema.europa.eu/en/medicines/human/EPAR/libtayo</w:t>
        </w:r>
      </w:hyperlink>
      <w:r w:rsidRPr="00CC38BD">
        <w:rPr>
          <w:rStyle w:val="Hyperlinkki"/>
          <w:rFonts w:cstheme="minorHAnsi"/>
        </w:rPr>
        <w:t>.</w:t>
      </w:r>
    </w:p>
    <w:p w14:paraId="005BA228" w14:textId="456D65D8" w:rsidR="004E7DC5" w:rsidRPr="00453A3E" w:rsidRDefault="00A942B3" w:rsidP="004E7DC5">
      <w:pPr>
        <w:pStyle w:val="Default"/>
        <w:rPr>
          <w:rFonts w:asciiTheme="minorHAnsi" w:hAnsiTheme="minorHAnsi" w:cstheme="minorHAnsi"/>
          <w:sz w:val="22"/>
          <w:szCs w:val="22"/>
          <w:lang w:val="de-DE"/>
        </w:rPr>
      </w:pPr>
      <w:r w:rsidRPr="00EA21C7">
        <w:rPr>
          <w:rFonts w:asciiTheme="minorHAnsi" w:hAnsiTheme="minorHAnsi" w:cstheme="minorHAnsi"/>
          <w:sz w:val="22"/>
          <w:szCs w:val="22"/>
        </w:rPr>
        <w:t xml:space="preserve">Hyvärinen A, Härkönen U, Kiviniemi V. Semiplimabi ihon okasolusyövän hoidossa. Lääkealan turvallisuus- ja kehittämiskeskus Fimea. Fimea kehittää, arvioi ja informoi </w:t>
      </w:r>
      <w:r w:rsidRPr="005859AE">
        <w:rPr>
          <w:rFonts w:asciiTheme="minorHAnsi" w:hAnsiTheme="minorHAnsi" w:cstheme="minorHAnsi"/>
          <w:sz w:val="22"/>
          <w:szCs w:val="22"/>
        </w:rPr>
        <w:t>-</w:t>
      </w:r>
      <w:r w:rsidRPr="002B606D">
        <w:rPr>
          <w:rFonts w:asciiTheme="minorHAnsi" w:hAnsiTheme="minorHAnsi" w:cstheme="minorHAnsi"/>
          <w:sz w:val="22"/>
          <w:szCs w:val="22"/>
        </w:rPr>
        <w:t xml:space="preserve">julkaisusarja </w:t>
      </w:r>
      <w:r w:rsidR="005859AE" w:rsidRPr="002B606D">
        <w:rPr>
          <w:rFonts w:asciiTheme="minorHAnsi" w:hAnsiTheme="minorHAnsi" w:cstheme="minorHAnsi"/>
          <w:sz w:val="22"/>
          <w:szCs w:val="22"/>
        </w:rPr>
        <w:t>7</w:t>
      </w:r>
      <w:r w:rsidRPr="002B606D">
        <w:rPr>
          <w:rFonts w:asciiTheme="minorHAnsi" w:hAnsiTheme="minorHAnsi" w:cstheme="minorHAnsi"/>
          <w:sz w:val="22"/>
          <w:szCs w:val="22"/>
        </w:rPr>
        <w:t xml:space="preserve">/2019. </w:t>
      </w:r>
      <w:r w:rsidR="005859AE" w:rsidRPr="00453A3E">
        <w:rPr>
          <w:rFonts w:asciiTheme="minorHAnsi" w:hAnsiTheme="minorHAnsi" w:cstheme="minorHAnsi"/>
          <w:sz w:val="22"/>
          <w:szCs w:val="22"/>
          <w:lang w:val="de-DE"/>
        </w:rPr>
        <w:t>41</w:t>
      </w:r>
      <w:r w:rsidRPr="00453A3E">
        <w:rPr>
          <w:rFonts w:asciiTheme="minorHAnsi" w:hAnsiTheme="minorHAnsi" w:cstheme="minorHAnsi"/>
          <w:sz w:val="22"/>
          <w:szCs w:val="22"/>
          <w:lang w:val="de-DE"/>
        </w:rPr>
        <w:t xml:space="preserve"> s. ISBN 978-952-7299-</w:t>
      </w:r>
      <w:r w:rsidR="005859AE" w:rsidRPr="00453A3E">
        <w:rPr>
          <w:rFonts w:asciiTheme="minorHAnsi" w:hAnsiTheme="minorHAnsi" w:cstheme="minorHAnsi"/>
          <w:sz w:val="22"/>
          <w:szCs w:val="22"/>
          <w:lang w:val="de-DE"/>
        </w:rPr>
        <w:t>05</w:t>
      </w:r>
      <w:r w:rsidRPr="00453A3E">
        <w:rPr>
          <w:rFonts w:asciiTheme="minorHAnsi" w:hAnsiTheme="minorHAnsi" w:cstheme="minorHAnsi"/>
          <w:sz w:val="22"/>
          <w:szCs w:val="22"/>
          <w:lang w:val="de-DE"/>
        </w:rPr>
        <w:t>-</w:t>
      </w:r>
      <w:r w:rsidR="005859AE" w:rsidRPr="00453A3E">
        <w:rPr>
          <w:rFonts w:asciiTheme="minorHAnsi" w:hAnsiTheme="minorHAnsi" w:cstheme="minorHAnsi"/>
          <w:sz w:val="22"/>
          <w:szCs w:val="22"/>
          <w:lang w:val="de-DE"/>
        </w:rPr>
        <w:t>0</w:t>
      </w:r>
      <w:r w:rsidRPr="00453A3E">
        <w:rPr>
          <w:rFonts w:asciiTheme="minorHAnsi" w:hAnsiTheme="minorHAnsi" w:cstheme="minorHAnsi"/>
          <w:sz w:val="22"/>
          <w:szCs w:val="22"/>
          <w:lang w:val="de-DE"/>
        </w:rPr>
        <w:t>.</w:t>
      </w:r>
      <w:r w:rsidR="005859AE" w:rsidRPr="00453A3E">
        <w:rPr>
          <w:rFonts w:asciiTheme="minorHAnsi" w:hAnsiTheme="minorHAnsi" w:cstheme="minorHAnsi"/>
          <w:sz w:val="22"/>
          <w:szCs w:val="22"/>
          <w:lang w:val="de-DE"/>
        </w:rPr>
        <w:t xml:space="preserve"> https://www.fimea.fi/kehittaminen/hoidollinen_ja_taloudellinen_arvo/arvioinnit.</w:t>
      </w:r>
    </w:p>
    <w:p w14:paraId="190861FE" w14:textId="77777777" w:rsidR="00A942B3" w:rsidRPr="00453A3E" w:rsidRDefault="00A942B3" w:rsidP="004E7DC5">
      <w:pPr>
        <w:pStyle w:val="Default"/>
        <w:rPr>
          <w:rFonts w:asciiTheme="minorHAnsi" w:hAnsiTheme="minorHAnsi" w:cstheme="minorHAnsi"/>
          <w:sz w:val="22"/>
          <w:szCs w:val="22"/>
          <w:highlight w:val="yellow"/>
          <w:lang w:val="de-DE"/>
        </w:rPr>
      </w:pPr>
    </w:p>
    <w:p w14:paraId="1523B586" w14:textId="3C15DA84" w:rsidR="00A942B3" w:rsidRDefault="00A942B3" w:rsidP="00A942B3">
      <w:pPr>
        <w:rPr>
          <w:rStyle w:val="Hyperlinkki"/>
          <w:rFonts w:cstheme="minorHAnsi"/>
          <w:lang w:val="en-US"/>
        </w:rPr>
      </w:pPr>
      <w:r w:rsidRPr="00EA21C7">
        <w:rPr>
          <w:rFonts w:cstheme="minorHAnsi"/>
          <w:lang w:val="en-US"/>
        </w:rPr>
        <w:t>National Institute for Health and Care Excellence (NICE). Cemiplimab for treating metastatic or locally advanced cutaneous squamous cell carcinoma. Technology appraisal guidance [TA592] Published date: 07 August 2019</w:t>
      </w:r>
      <w:r w:rsidR="00BC1AD4">
        <w:rPr>
          <w:rFonts w:cstheme="minorHAnsi"/>
          <w:lang w:val="en-US"/>
        </w:rPr>
        <w:t>.</w:t>
      </w:r>
      <w:hyperlink r:id="rId13" w:history="1">
        <w:r w:rsidRPr="00EA21C7">
          <w:rPr>
            <w:rStyle w:val="Hyperlinkki"/>
            <w:rFonts w:cstheme="minorHAnsi"/>
            <w:lang w:val="en-US"/>
          </w:rPr>
          <w:t>https://www.nice.org.uk/guidance/ta592</w:t>
        </w:r>
      </w:hyperlink>
    </w:p>
    <w:p w14:paraId="4BDE1F28" w14:textId="5DA25637" w:rsidR="00AB1D52" w:rsidRPr="00AB1D52" w:rsidRDefault="00AB1D52" w:rsidP="008D09C1">
      <w:pPr>
        <w:spacing w:after="0" w:line="240" w:lineRule="auto"/>
        <w:rPr>
          <w:lang w:val="en-US"/>
        </w:rPr>
      </w:pPr>
      <w:r w:rsidRPr="00AB1D52">
        <w:rPr>
          <w:lang w:val="en-US"/>
        </w:rPr>
        <w:t xml:space="preserve">Sun L, Chin RI, Gastman B. ym. Association of Disease Recurrence </w:t>
      </w:r>
      <w:r w:rsidR="00DA5A4B">
        <w:rPr>
          <w:lang w:val="en-US"/>
        </w:rPr>
        <w:t>w</w:t>
      </w:r>
      <w:r w:rsidRPr="00AB1D52">
        <w:rPr>
          <w:lang w:val="en-US"/>
        </w:rPr>
        <w:t>ith Survival Outcomes in Patients With</w:t>
      </w:r>
    </w:p>
    <w:p w14:paraId="6F6BF93A" w14:textId="616B60F0" w:rsidR="00AB1D52" w:rsidRPr="007908E7" w:rsidRDefault="00AB1D52" w:rsidP="008D09C1">
      <w:r w:rsidRPr="00AB1D52">
        <w:rPr>
          <w:lang w:val="en-US"/>
        </w:rPr>
        <w:t xml:space="preserve">Cutaneous Squamous Cell Carcinoma of the Head and Neck Treated With Multimodality Therapy. </w:t>
      </w:r>
      <w:r w:rsidRPr="007908E7">
        <w:t>JAMA Dermatol. 2019; 155(4):442−447</w:t>
      </w:r>
    </w:p>
    <w:p w14:paraId="67A77E19" w14:textId="77777777" w:rsidR="00013F63" w:rsidRPr="007908E7" w:rsidRDefault="00013F63" w:rsidP="00A942B3">
      <w:pPr>
        <w:rPr>
          <w:rFonts w:cstheme="minorHAnsi"/>
        </w:rPr>
      </w:pPr>
    </w:p>
    <w:p w14:paraId="30775F54" w14:textId="31C8F2E0" w:rsidR="004E7DC5" w:rsidRPr="007908E7" w:rsidRDefault="004E7DC5" w:rsidP="00D46311">
      <w:pPr>
        <w:pStyle w:val="Default"/>
        <w:spacing w:line="276" w:lineRule="auto"/>
        <w:rPr>
          <w:rFonts w:asciiTheme="minorHAnsi" w:hAnsiTheme="minorHAnsi" w:cstheme="minorHAnsi"/>
          <w:sz w:val="22"/>
          <w:szCs w:val="22"/>
        </w:rPr>
      </w:pPr>
    </w:p>
    <w:p w14:paraId="24C036C5" w14:textId="55633C4C" w:rsidR="002B606D" w:rsidRPr="007908E7" w:rsidRDefault="002B606D" w:rsidP="00D46311">
      <w:pPr>
        <w:pStyle w:val="Default"/>
        <w:spacing w:line="276" w:lineRule="auto"/>
        <w:rPr>
          <w:rFonts w:asciiTheme="minorHAnsi" w:hAnsiTheme="minorHAnsi" w:cstheme="minorHAnsi"/>
          <w:sz w:val="22"/>
          <w:szCs w:val="22"/>
        </w:rPr>
      </w:pPr>
    </w:p>
    <w:p w14:paraId="5B0D0121" w14:textId="69454C49" w:rsidR="0026220A" w:rsidRPr="007908E7" w:rsidRDefault="0026220A" w:rsidP="00D46311">
      <w:pPr>
        <w:pStyle w:val="Default"/>
        <w:spacing w:line="276" w:lineRule="auto"/>
        <w:rPr>
          <w:rFonts w:asciiTheme="minorHAnsi" w:hAnsiTheme="minorHAnsi" w:cstheme="minorHAnsi"/>
          <w:sz w:val="22"/>
          <w:szCs w:val="22"/>
        </w:rPr>
      </w:pPr>
    </w:p>
    <w:p w14:paraId="228C8C59" w14:textId="61BF7E80" w:rsidR="0026220A" w:rsidRPr="007908E7" w:rsidRDefault="0026220A" w:rsidP="00D46311">
      <w:pPr>
        <w:pStyle w:val="Default"/>
        <w:spacing w:line="276" w:lineRule="auto"/>
        <w:rPr>
          <w:rFonts w:asciiTheme="minorHAnsi" w:hAnsiTheme="minorHAnsi" w:cstheme="minorHAnsi"/>
          <w:sz w:val="22"/>
          <w:szCs w:val="22"/>
        </w:rPr>
      </w:pPr>
    </w:p>
    <w:p w14:paraId="0A64E81E" w14:textId="3B9E953D" w:rsidR="0026220A" w:rsidRPr="007908E7" w:rsidRDefault="0026220A" w:rsidP="00D46311">
      <w:pPr>
        <w:pStyle w:val="Default"/>
        <w:spacing w:line="276" w:lineRule="auto"/>
        <w:rPr>
          <w:rFonts w:asciiTheme="minorHAnsi" w:hAnsiTheme="minorHAnsi" w:cstheme="minorHAnsi"/>
          <w:sz w:val="22"/>
          <w:szCs w:val="22"/>
        </w:rPr>
      </w:pPr>
    </w:p>
    <w:p w14:paraId="4DD00C7E" w14:textId="0973E08E" w:rsidR="0026220A" w:rsidRPr="007908E7" w:rsidRDefault="0026220A" w:rsidP="00D46311">
      <w:pPr>
        <w:pStyle w:val="Default"/>
        <w:spacing w:line="276" w:lineRule="auto"/>
        <w:rPr>
          <w:rFonts w:asciiTheme="minorHAnsi" w:hAnsiTheme="minorHAnsi" w:cstheme="minorHAnsi"/>
          <w:sz w:val="22"/>
          <w:szCs w:val="22"/>
        </w:rPr>
      </w:pPr>
    </w:p>
    <w:p w14:paraId="7FE85BF8" w14:textId="77777777" w:rsidR="0026220A" w:rsidRPr="007908E7" w:rsidRDefault="0026220A" w:rsidP="00D46311">
      <w:pPr>
        <w:pStyle w:val="Default"/>
        <w:spacing w:line="276" w:lineRule="auto"/>
        <w:rPr>
          <w:rFonts w:asciiTheme="minorHAnsi" w:hAnsiTheme="minorHAnsi" w:cstheme="minorHAnsi"/>
          <w:sz w:val="22"/>
          <w:szCs w:val="22"/>
        </w:rPr>
      </w:pPr>
    </w:p>
    <w:p w14:paraId="4C5F1897" w14:textId="77777777" w:rsidR="002B606D" w:rsidRPr="007908E7" w:rsidRDefault="002B606D" w:rsidP="00D46311">
      <w:pPr>
        <w:pStyle w:val="Default"/>
        <w:spacing w:line="276" w:lineRule="auto"/>
        <w:rPr>
          <w:rFonts w:asciiTheme="minorHAnsi" w:hAnsiTheme="minorHAnsi" w:cstheme="minorHAnsi"/>
          <w:sz w:val="22"/>
          <w:szCs w:val="22"/>
        </w:rPr>
      </w:pPr>
    </w:p>
    <w:p w14:paraId="2CB1E859" w14:textId="4463EE4A" w:rsidR="00242DC8" w:rsidRPr="00EA21C7" w:rsidRDefault="00242DC8">
      <w:pPr>
        <w:rPr>
          <w:rFonts w:cstheme="minorHAnsi"/>
        </w:rPr>
      </w:pPr>
      <w:r w:rsidRPr="002B606D">
        <w:rPr>
          <w:rFonts w:cstheme="minorHAnsi"/>
        </w:rPr>
        <w:t xml:space="preserve">Liite 1.  </w:t>
      </w:r>
      <w:r w:rsidRPr="00EA21C7">
        <w:rPr>
          <w:rFonts w:cstheme="minorHAnsi"/>
        </w:rPr>
        <w:t>Semiplimabi</w:t>
      </w:r>
      <w:r w:rsidR="00F82AAC" w:rsidRPr="00EA21C7">
        <w:rPr>
          <w:rFonts w:cstheme="minorHAnsi"/>
        </w:rPr>
        <w:t xml:space="preserve">n käyttöä kokevat suositukset ja arvioinnit </w:t>
      </w:r>
      <w:r w:rsidR="0092670D" w:rsidRPr="00EA21C7">
        <w:rPr>
          <w:rFonts w:cstheme="minorHAnsi"/>
        </w:rPr>
        <w:t xml:space="preserve">eräissä </w:t>
      </w:r>
      <w:r w:rsidRPr="00EA21C7">
        <w:rPr>
          <w:rFonts w:cstheme="minorHAnsi"/>
        </w:rPr>
        <w:t>muissa maissa</w:t>
      </w:r>
      <w:r w:rsidR="00B44152" w:rsidRPr="00EA21C7">
        <w:rPr>
          <w:rFonts w:cstheme="minorHAnsi"/>
        </w:rPr>
        <w:t xml:space="preserve"> (tilanne 24.9.2019)</w:t>
      </w:r>
    </w:p>
    <w:tbl>
      <w:tblPr>
        <w:tblStyle w:val="TaulukkoRuudukko"/>
        <w:tblW w:w="0" w:type="auto"/>
        <w:tblLook w:val="04A0" w:firstRow="1" w:lastRow="0" w:firstColumn="1" w:lastColumn="0" w:noHBand="0" w:noVBand="1"/>
      </w:tblPr>
      <w:tblGrid>
        <w:gridCol w:w="2547"/>
        <w:gridCol w:w="7081"/>
      </w:tblGrid>
      <w:tr w:rsidR="006D7539" w:rsidRPr="00EA21C7" w14:paraId="667CD71E" w14:textId="77777777" w:rsidTr="002A1394">
        <w:tc>
          <w:tcPr>
            <w:tcW w:w="2547" w:type="dxa"/>
          </w:tcPr>
          <w:p w14:paraId="07B8612E" w14:textId="7512DEF8" w:rsidR="006D7539" w:rsidRPr="00EA21C7" w:rsidRDefault="00F82AAC">
            <w:pPr>
              <w:rPr>
                <w:rFonts w:cstheme="minorHAnsi"/>
              </w:rPr>
            </w:pPr>
            <w:r w:rsidRPr="00EA21C7">
              <w:rPr>
                <w:rFonts w:cstheme="minorHAnsi"/>
              </w:rPr>
              <w:lastRenderedPageBreak/>
              <w:t>Maa (arviointiviranomainen)</w:t>
            </w:r>
          </w:p>
        </w:tc>
        <w:tc>
          <w:tcPr>
            <w:tcW w:w="7081" w:type="dxa"/>
          </w:tcPr>
          <w:p w14:paraId="4774CA2C" w14:textId="715A5C98" w:rsidR="006D7539" w:rsidRPr="00EA21C7" w:rsidRDefault="00F82AAC">
            <w:pPr>
              <w:rPr>
                <w:rFonts w:cstheme="minorHAnsi"/>
              </w:rPr>
            </w:pPr>
            <w:r w:rsidRPr="00EA21C7">
              <w:rPr>
                <w:rFonts w:cstheme="minorHAnsi"/>
              </w:rPr>
              <w:t>Suositus</w:t>
            </w:r>
          </w:p>
        </w:tc>
      </w:tr>
      <w:tr w:rsidR="006D7539" w:rsidRPr="00EA21C7" w14:paraId="6820FFA4" w14:textId="77777777" w:rsidTr="002A1394">
        <w:tc>
          <w:tcPr>
            <w:tcW w:w="2547" w:type="dxa"/>
          </w:tcPr>
          <w:p w14:paraId="14D05800" w14:textId="77777777" w:rsidR="00CD0427" w:rsidRPr="00EA21C7" w:rsidRDefault="00CD0427">
            <w:pPr>
              <w:rPr>
                <w:rFonts w:cstheme="minorHAnsi"/>
                <w:color w:val="000000"/>
              </w:rPr>
            </w:pPr>
          </w:p>
          <w:p w14:paraId="5E5591A2" w14:textId="3E77CBC0" w:rsidR="006D7539" w:rsidRPr="00EA21C7" w:rsidRDefault="00F82AAC">
            <w:pPr>
              <w:rPr>
                <w:rFonts w:cstheme="minorHAnsi"/>
              </w:rPr>
            </w:pPr>
            <w:r w:rsidRPr="00EA21C7">
              <w:rPr>
                <w:rFonts w:cstheme="minorHAnsi"/>
                <w:color w:val="000000"/>
              </w:rPr>
              <w:t>Englanti &amp; Wales (NICE</w:t>
            </w:r>
            <w:r w:rsidR="006D7539" w:rsidRPr="00EA21C7">
              <w:rPr>
                <w:rFonts w:cstheme="minorHAnsi"/>
                <w:color w:val="000000"/>
              </w:rPr>
              <w:t>)</w:t>
            </w:r>
          </w:p>
        </w:tc>
        <w:tc>
          <w:tcPr>
            <w:tcW w:w="7081" w:type="dxa"/>
          </w:tcPr>
          <w:p w14:paraId="56488D7B" w14:textId="3CB6A931" w:rsidR="00A847A5" w:rsidRPr="00EA21C7" w:rsidRDefault="00B44152" w:rsidP="00F462DF">
            <w:pPr>
              <w:rPr>
                <w:rFonts w:cstheme="minorHAnsi"/>
                <w:color w:val="000000"/>
              </w:rPr>
            </w:pPr>
            <w:r w:rsidRPr="00EA21C7">
              <w:rPr>
                <w:rFonts w:cstheme="minorHAnsi"/>
                <w:color w:val="000000"/>
              </w:rPr>
              <w:t>7.</w:t>
            </w:r>
            <w:r w:rsidR="00F02F98" w:rsidRPr="00EA21C7">
              <w:rPr>
                <w:rFonts w:cstheme="minorHAnsi"/>
                <w:color w:val="000000"/>
              </w:rPr>
              <w:t>8</w:t>
            </w:r>
            <w:r w:rsidRPr="00EA21C7">
              <w:rPr>
                <w:rFonts w:cstheme="minorHAnsi"/>
                <w:color w:val="000000"/>
              </w:rPr>
              <w:t xml:space="preserve">.2019: </w:t>
            </w:r>
            <w:r w:rsidR="006D7539" w:rsidRPr="00EA21C7">
              <w:rPr>
                <w:rFonts w:cstheme="minorHAnsi"/>
                <w:color w:val="000000"/>
              </w:rPr>
              <w:t>Semiplimabia suositellaan yhdeksi hoitovaihtoehdoksi paikallisesti edenneeseen tai etäpesäkkeiseen ihon okasolusyöpään, kun parantava leikkaus tai sädehoito eivät tule kyseeseen</w:t>
            </w:r>
            <w:r w:rsidR="00F462DF" w:rsidRPr="00EA21C7">
              <w:rPr>
                <w:rFonts w:cstheme="minorHAnsi"/>
                <w:color w:val="000000"/>
              </w:rPr>
              <w:t>.</w:t>
            </w:r>
            <w:r w:rsidR="00A847A5" w:rsidRPr="00EA21C7">
              <w:rPr>
                <w:rFonts w:cstheme="minorHAnsi"/>
                <w:color w:val="000000"/>
              </w:rPr>
              <w:t xml:space="preserve"> </w:t>
            </w:r>
            <w:r w:rsidR="00F462DF" w:rsidRPr="00EA21C7">
              <w:rPr>
                <w:rFonts w:cstheme="minorHAnsi"/>
                <w:color w:val="000000"/>
              </w:rPr>
              <w:t>H</w:t>
            </w:r>
            <w:r w:rsidR="006D7539" w:rsidRPr="00EA21C7">
              <w:rPr>
                <w:rFonts w:cstheme="minorHAnsi"/>
                <w:color w:val="000000"/>
              </w:rPr>
              <w:t xml:space="preserve">oitoa </w:t>
            </w:r>
            <w:r w:rsidR="00641E84" w:rsidRPr="00EA21C7">
              <w:rPr>
                <w:rFonts w:cstheme="minorHAnsi"/>
                <w:color w:val="000000"/>
              </w:rPr>
              <w:t xml:space="preserve">voi </w:t>
            </w:r>
            <w:r w:rsidR="006D7539" w:rsidRPr="00EA21C7">
              <w:rPr>
                <w:rFonts w:cstheme="minorHAnsi"/>
                <w:color w:val="000000"/>
              </w:rPr>
              <w:t>jatka</w:t>
            </w:r>
            <w:r w:rsidR="00641E84" w:rsidRPr="00EA21C7">
              <w:rPr>
                <w:rFonts w:cstheme="minorHAnsi"/>
                <w:color w:val="000000"/>
              </w:rPr>
              <w:t>a</w:t>
            </w:r>
            <w:r w:rsidR="006D7539" w:rsidRPr="00EA21C7">
              <w:rPr>
                <w:rFonts w:cstheme="minorHAnsi"/>
                <w:color w:val="000000"/>
              </w:rPr>
              <w:t xml:space="preserve"> enintään 24 kuukautta. </w:t>
            </w:r>
          </w:p>
          <w:p w14:paraId="630C78C3" w14:textId="5B6D007F" w:rsidR="00F462DF" w:rsidRDefault="00CC6FBD" w:rsidP="00F462DF">
            <w:pPr>
              <w:rPr>
                <w:rFonts w:cstheme="minorHAnsi"/>
                <w:color w:val="000000"/>
              </w:rPr>
            </w:pPr>
            <w:hyperlink r:id="rId14" w:history="1">
              <w:r w:rsidR="00EA21C7" w:rsidRPr="00B26124">
                <w:rPr>
                  <w:rStyle w:val="Hyperlinkki"/>
                  <w:rFonts w:cstheme="minorHAnsi"/>
                </w:rPr>
                <w:t>https://www.nice.org.uk/guidance/TA592</w:t>
              </w:r>
            </w:hyperlink>
            <w:r w:rsidR="00F462DF" w:rsidRPr="00EA21C7">
              <w:rPr>
                <w:rFonts w:cstheme="minorHAnsi"/>
                <w:color w:val="000000"/>
              </w:rPr>
              <w:t>.</w:t>
            </w:r>
          </w:p>
          <w:p w14:paraId="13C0D7BC" w14:textId="35AAE0E4" w:rsidR="00F462DF" w:rsidRPr="00EA21C7" w:rsidRDefault="00F462DF" w:rsidP="00F462DF">
            <w:pPr>
              <w:rPr>
                <w:rFonts w:cstheme="minorHAnsi"/>
                <w:b/>
              </w:rPr>
            </w:pPr>
          </w:p>
        </w:tc>
      </w:tr>
      <w:tr w:rsidR="006D7539" w:rsidRPr="00EA21C7" w14:paraId="724F2EA5" w14:textId="77777777" w:rsidTr="002A1394">
        <w:tc>
          <w:tcPr>
            <w:tcW w:w="2547" w:type="dxa"/>
          </w:tcPr>
          <w:p w14:paraId="54FC2732" w14:textId="2146CF08" w:rsidR="006D7539" w:rsidRPr="00EA21C7" w:rsidRDefault="006D7539">
            <w:pPr>
              <w:rPr>
                <w:rFonts w:cstheme="minorHAnsi"/>
              </w:rPr>
            </w:pPr>
            <w:r w:rsidRPr="00EA21C7">
              <w:rPr>
                <w:rFonts w:cstheme="minorHAnsi"/>
                <w:color w:val="000000"/>
              </w:rPr>
              <w:t>Skotlanti (SMC</w:t>
            </w:r>
            <w:r w:rsidR="00A847A5" w:rsidRPr="00EA21C7">
              <w:rPr>
                <w:rFonts w:cstheme="minorHAnsi"/>
                <w:color w:val="000000"/>
              </w:rPr>
              <w:t>)</w:t>
            </w:r>
          </w:p>
        </w:tc>
        <w:tc>
          <w:tcPr>
            <w:tcW w:w="7081" w:type="dxa"/>
          </w:tcPr>
          <w:p w14:paraId="01EC226B" w14:textId="0E53DC74" w:rsidR="0092670D" w:rsidRPr="00EA21C7" w:rsidRDefault="00F462DF">
            <w:pPr>
              <w:rPr>
                <w:rFonts w:cstheme="minorHAnsi"/>
                <w:color w:val="000000"/>
              </w:rPr>
            </w:pPr>
            <w:r w:rsidRPr="00EA21C7">
              <w:rPr>
                <w:rFonts w:cstheme="minorHAnsi"/>
                <w:color w:val="000000"/>
              </w:rPr>
              <w:t>A</w:t>
            </w:r>
            <w:r w:rsidR="006D7539" w:rsidRPr="00EA21C7">
              <w:rPr>
                <w:rFonts w:cstheme="minorHAnsi"/>
                <w:color w:val="000000"/>
              </w:rPr>
              <w:t>rviointi käynnissä</w:t>
            </w:r>
            <w:r w:rsidR="00B44152" w:rsidRPr="00EA21C7">
              <w:rPr>
                <w:rFonts w:cstheme="minorHAnsi"/>
                <w:color w:val="000000"/>
              </w:rPr>
              <w:t>, suunniteltu valmistumisaika</w:t>
            </w:r>
            <w:r w:rsidR="006D7539" w:rsidRPr="00EA21C7">
              <w:rPr>
                <w:rFonts w:cstheme="minorHAnsi"/>
                <w:color w:val="000000"/>
              </w:rPr>
              <w:t xml:space="preserve"> </w:t>
            </w:r>
            <w:r w:rsidR="00BD7088" w:rsidRPr="00EA21C7">
              <w:rPr>
                <w:rFonts w:cstheme="minorHAnsi"/>
                <w:color w:val="000000"/>
              </w:rPr>
              <w:t>1-3/</w:t>
            </w:r>
            <w:r w:rsidR="006D7539" w:rsidRPr="00EA21C7">
              <w:rPr>
                <w:rFonts w:cstheme="minorHAnsi"/>
                <w:color w:val="000000"/>
              </w:rPr>
              <w:t xml:space="preserve">2020 </w:t>
            </w:r>
            <w:hyperlink r:id="rId15" w:history="1">
              <w:r w:rsidR="0092670D" w:rsidRPr="00EA21C7">
                <w:rPr>
                  <w:rStyle w:val="Hyperlinkki"/>
                  <w:rFonts w:cstheme="minorHAnsi"/>
                </w:rPr>
                <w:t>https://www.scottishmedicines.org.uk/medicines-advice/cemiplimab-libtayo-full-smc2216/</w:t>
              </w:r>
            </w:hyperlink>
          </w:p>
          <w:p w14:paraId="6878833A" w14:textId="71A7F295" w:rsidR="0092670D" w:rsidRPr="00EA21C7" w:rsidRDefault="0092670D">
            <w:pPr>
              <w:rPr>
                <w:rFonts w:cstheme="minorHAnsi"/>
              </w:rPr>
            </w:pPr>
          </w:p>
        </w:tc>
      </w:tr>
      <w:tr w:rsidR="006D7539" w:rsidRPr="00EA21C7" w14:paraId="73EF2F9E" w14:textId="77777777" w:rsidTr="002A1394">
        <w:tc>
          <w:tcPr>
            <w:tcW w:w="2547" w:type="dxa"/>
          </w:tcPr>
          <w:p w14:paraId="62BD6354" w14:textId="77E0C782" w:rsidR="006D7539" w:rsidRPr="00EA21C7" w:rsidRDefault="006D7539" w:rsidP="006D7539">
            <w:pPr>
              <w:rPr>
                <w:rFonts w:cstheme="minorHAnsi"/>
              </w:rPr>
            </w:pPr>
            <w:r w:rsidRPr="00EA21C7">
              <w:rPr>
                <w:rFonts w:cstheme="minorHAnsi"/>
                <w:color w:val="000000"/>
              </w:rPr>
              <w:t>Kanada (CADTH)</w:t>
            </w:r>
          </w:p>
        </w:tc>
        <w:tc>
          <w:tcPr>
            <w:tcW w:w="7081" w:type="dxa"/>
          </w:tcPr>
          <w:p w14:paraId="5367AFB8" w14:textId="77777777" w:rsidR="00BD7088" w:rsidRPr="00EA21C7" w:rsidRDefault="006D7539" w:rsidP="006D7539">
            <w:pPr>
              <w:rPr>
                <w:rFonts w:cstheme="minorHAnsi"/>
                <w:color w:val="000000"/>
              </w:rPr>
            </w:pPr>
            <w:r w:rsidRPr="00EA21C7">
              <w:rPr>
                <w:rFonts w:cstheme="minorHAnsi"/>
                <w:color w:val="000000"/>
              </w:rPr>
              <w:t xml:space="preserve">Arviointi käynnissä </w:t>
            </w:r>
          </w:p>
          <w:p w14:paraId="1F6E0F78" w14:textId="0BEE6364" w:rsidR="0092670D" w:rsidRPr="00EA21C7" w:rsidRDefault="00CC6FBD" w:rsidP="006D7539">
            <w:pPr>
              <w:rPr>
                <w:rFonts w:cstheme="minorHAnsi"/>
                <w:color w:val="000000"/>
              </w:rPr>
            </w:pPr>
            <w:hyperlink r:id="rId16" w:history="1">
              <w:r w:rsidR="0092670D" w:rsidRPr="00EA21C7">
                <w:rPr>
                  <w:rStyle w:val="Hyperlinkki"/>
                  <w:rFonts w:cstheme="minorHAnsi"/>
                </w:rPr>
                <w:t>https://cadth.ca/cemiplimab-libtayo-cutaneous-squamous-cell-carcinoma-details</w:t>
              </w:r>
            </w:hyperlink>
          </w:p>
          <w:p w14:paraId="1698833B" w14:textId="519355A6" w:rsidR="006D7539" w:rsidRPr="00EA21C7" w:rsidRDefault="006D7539" w:rsidP="00BD7088">
            <w:pPr>
              <w:rPr>
                <w:rFonts w:cstheme="minorHAnsi"/>
              </w:rPr>
            </w:pPr>
          </w:p>
        </w:tc>
      </w:tr>
      <w:tr w:rsidR="006D7539" w:rsidRPr="00EA21C7" w14:paraId="26F22221" w14:textId="77777777" w:rsidTr="002A1394">
        <w:tc>
          <w:tcPr>
            <w:tcW w:w="2547" w:type="dxa"/>
          </w:tcPr>
          <w:p w14:paraId="3A02C1A7" w14:textId="60D86CB9" w:rsidR="006D7539" w:rsidRPr="00EA21C7" w:rsidRDefault="006D7539" w:rsidP="006D7539">
            <w:pPr>
              <w:rPr>
                <w:rFonts w:cstheme="minorHAnsi"/>
              </w:rPr>
            </w:pPr>
            <w:r w:rsidRPr="00EA21C7">
              <w:rPr>
                <w:rFonts w:cstheme="minorHAnsi"/>
                <w:color w:val="000000"/>
              </w:rPr>
              <w:t>Ruotsi (TLV)</w:t>
            </w:r>
          </w:p>
        </w:tc>
        <w:tc>
          <w:tcPr>
            <w:tcW w:w="7081" w:type="dxa"/>
          </w:tcPr>
          <w:p w14:paraId="619D124F" w14:textId="1C4995E7" w:rsidR="006D7539" w:rsidRPr="00EA21C7" w:rsidRDefault="005859AE" w:rsidP="006D7539">
            <w:pPr>
              <w:rPr>
                <w:rFonts w:cstheme="minorHAnsi"/>
                <w:color w:val="000000"/>
              </w:rPr>
            </w:pPr>
            <w:r>
              <w:rPr>
                <w:rFonts w:cstheme="minorHAnsi"/>
                <w:color w:val="000000"/>
              </w:rPr>
              <w:t xml:space="preserve">17.9. 2019 </w:t>
            </w:r>
            <w:r w:rsidR="00F462DF" w:rsidRPr="00EA21C7">
              <w:rPr>
                <w:rFonts w:cstheme="minorHAnsi"/>
                <w:color w:val="000000"/>
              </w:rPr>
              <w:t>A</w:t>
            </w:r>
            <w:r w:rsidR="006D7539" w:rsidRPr="00EA21C7">
              <w:rPr>
                <w:rFonts w:cstheme="minorHAnsi"/>
                <w:color w:val="000000"/>
              </w:rPr>
              <w:t xml:space="preserve">rviointi käynnissä </w:t>
            </w:r>
            <w:r w:rsidRPr="005859AE">
              <w:rPr>
                <w:rStyle w:val="Hyperlinkki"/>
                <w:rFonts w:cstheme="minorHAnsi"/>
              </w:rPr>
              <w:t>https://tlv.se/lakemedel/kliniklakemedelsuppdraget/pagaende-halsoekonomiska-bedomningar.html</w:t>
            </w:r>
          </w:p>
          <w:p w14:paraId="16CBE3E2" w14:textId="06AACD92" w:rsidR="0092670D" w:rsidRPr="00EA21C7" w:rsidRDefault="0092670D" w:rsidP="006D7539">
            <w:pPr>
              <w:rPr>
                <w:rFonts w:cstheme="minorHAnsi"/>
              </w:rPr>
            </w:pPr>
          </w:p>
        </w:tc>
      </w:tr>
      <w:tr w:rsidR="006D7539" w:rsidRPr="00EA21C7" w14:paraId="163DDBA3" w14:textId="77777777" w:rsidTr="002A1394">
        <w:tc>
          <w:tcPr>
            <w:tcW w:w="2547" w:type="dxa"/>
          </w:tcPr>
          <w:p w14:paraId="32141B57" w14:textId="340B5754" w:rsidR="006D7539" w:rsidRPr="00EA21C7" w:rsidRDefault="006D7539" w:rsidP="006D7539">
            <w:pPr>
              <w:rPr>
                <w:rFonts w:cstheme="minorHAnsi"/>
              </w:rPr>
            </w:pPr>
            <w:r w:rsidRPr="00EA21C7">
              <w:rPr>
                <w:rFonts w:cstheme="minorHAnsi"/>
                <w:color w:val="000000"/>
              </w:rPr>
              <w:t>Norja (Nye Metoder)</w:t>
            </w:r>
          </w:p>
        </w:tc>
        <w:tc>
          <w:tcPr>
            <w:tcW w:w="7081" w:type="dxa"/>
          </w:tcPr>
          <w:p w14:paraId="55B2C987" w14:textId="3C5AD2F9" w:rsidR="00BD7088" w:rsidRPr="00EA21C7" w:rsidRDefault="006D7539" w:rsidP="006D7539">
            <w:pPr>
              <w:rPr>
                <w:rFonts w:cstheme="minorHAnsi"/>
                <w:color w:val="000000"/>
              </w:rPr>
            </w:pPr>
            <w:r w:rsidRPr="00EA21C7">
              <w:rPr>
                <w:rFonts w:cstheme="minorHAnsi"/>
                <w:color w:val="000000"/>
              </w:rPr>
              <w:t>Arviointi käynnissä</w:t>
            </w:r>
            <w:r w:rsidR="00BD7088" w:rsidRPr="00EA21C7">
              <w:rPr>
                <w:rFonts w:cstheme="minorHAnsi"/>
                <w:color w:val="000000"/>
              </w:rPr>
              <w:t xml:space="preserve"> (14.9.2018: Tehdään </w:t>
            </w:r>
            <w:r w:rsidR="00BC1AD4" w:rsidRPr="00EA21C7">
              <w:rPr>
                <w:rFonts w:cstheme="minorHAnsi"/>
                <w:color w:val="000000"/>
              </w:rPr>
              <w:t>arviointi,</w:t>
            </w:r>
            <w:r w:rsidR="00BD7088" w:rsidRPr="00EA21C7">
              <w:rPr>
                <w:rFonts w:cstheme="minorHAnsi"/>
                <w:color w:val="000000"/>
              </w:rPr>
              <w:t xml:space="preserve"> </w:t>
            </w:r>
            <w:r w:rsidR="00A847A5" w:rsidRPr="00EA21C7">
              <w:rPr>
                <w:rFonts w:cstheme="minorHAnsi"/>
                <w:color w:val="000000"/>
              </w:rPr>
              <w:t xml:space="preserve">kun </w:t>
            </w:r>
            <w:r w:rsidR="00BD7088" w:rsidRPr="00EA21C7">
              <w:rPr>
                <w:rFonts w:cstheme="minorHAnsi"/>
                <w:color w:val="000000"/>
              </w:rPr>
              <w:t>on riittävästi aineistoa)</w:t>
            </w:r>
            <w:r w:rsidRPr="00EA21C7">
              <w:rPr>
                <w:rFonts w:cstheme="minorHAnsi"/>
                <w:color w:val="000000"/>
              </w:rPr>
              <w:t xml:space="preserve"> </w:t>
            </w:r>
          </w:p>
          <w:p w14:paraId="000DF603" w14:textId="635BD978" w:rsidR="006D7539" w:rsidRPr="00EA21C7" w:rsidRDefault="00CC6FBD" w:rsidP="006D7539">
            <w:pPr>
              <w:rPr>
                <w:rFonts w:cstheme="minorHAnsi"/>
                <w:color w:val="000000"/>
              </w:rPr>
            </w:pPr>
            <w:hyperlink r:id="rId17" w:history="1">
              <w:r w:rsidR="0092670D" w:rsidRPr="00EA21C7">
                <w:rPr>
                  <w:rStyle w:val="Hyperlinkki"/>
                  <w:rFonts w:cstheme="minorHAnsi"/>
                </w:rPr>
                <w:t>https://nyemetoder.no/metoder/cemiplimab</w:t>
              </w:r>
            </w:hyperlink>
          </w:p>
          <w:p w14:paraId="486999CB" w14:textId="308BD8EE" w:rsidR="0092670D" w:rsidRPr="00EA21C7" w:rsidRDefault="0092670D" w:rsidP="006D7539">
            <w:pPr>
              <w:rPr>
                <w:rFonts w:cstheme="minorHAnsi"/>
              </w:rPr>
            </w:pPr>
          </w:p>
        </w:tc>
      </w:tr>
      <w:tr w:rsidR="006D7539" w:rsidRPr="00EA21C7" w14:paraId="77F6135E" w14:textId="77777777" w:rsidTr="002A1394">
        <w:tc>
          <w:tcPr>
            <w:tcW w:w="2547" w:type="dxa"/>
          </w:tcPr>
          <w:p w14:paraId="5E1FBC5A" w14:textId="310AC409" w:rsidR="006D7539" w:rsidRPr="00EA21C7" w:rsidRDefault="006D7539" w:rsidP="006D7539">
            <w:pPr>
              <w:rPr>
                <w:rFonts w:cstheme="minorHAnsi"/>
              </w:rPr>
            </w:pPr>
            <w:r w:rsidRPr="00EA21C7">
              <w:rPr>
                <w:rFonts w:cstheme="minorHAnsi"/>
                <w:color w:val="000000"/>
              </w:rPr>
              <w:t>Tanska (Medicinrådet)</w:t>
            </w:r>
          </w:p>
        </w:tc>
        <w:tc>
          <w:tcPr>
            <w:tcW w:w="7081" w:type="dxa"/>
          </w:tcPr>
          <w:p w14:paraId="4BAD3EB8" w14:textId="2B9DB40C" w:rsidR="00BD7088" w:rsidRPr="00EA21C7" w:rsidRDefault="009C196E" w:rsidP="006D7539">
            <w:pPr>
              <w:rPr>
                <w:rFonts w:cstheme="minorHAnsi"/>
                <w:color w:val="000000"/>
              </w:rPr>
            </w:pPr>
            <w:r>
              <w:rPr>
                <w:rFonts w:cstheme="minorHAnsi"/>
                <w:color w:val="000000"/>
              </w:rPr>
              <w:t>A</w:t>
            </w:r>
            <w:r w:rsidR="00BD7088" w:rsidRPr="00EA21C7">
              <w:rPr>
                <w:rFonts w:cstheme="minorHAnsi"/>
                <w:color w:val="000000"/>
              </w:rPr>
              <w:t xml:space="preserve">rviointi </w:t>
            </w:r>
            <w:r>
              <w:rPr>
                <w:rFonts w:cstheme="minorHAnsi"/>
                <w:color w:val="000000"/>
              </w:rPr>
              <w:t>aloitettu 6.9.2019</w:t>
            </w:r>
          </w:p>
          <w:p w14:paraId="0289B51F" w14:textId="4134E9BD" w:rsidR="0092670D" w:rsidRPr="00EA21C7" w:rsidRDefault="00CC6FBD" w:rsidP="00F462DF">
            <w:pPr>
              <w:rPr>
                <w:rFonts w:cstheme="minorHAnsi"/>
              </w:rPr>
            </w:pPr>
            <w:hyperlink r:id="rId18" w:history="1">
              <w:r w:rsidR="0092670D" w:rsidRPr="00EA21C7">
                <w:rPr>
                  <w:rStyle w:val="Hyperlinkki"/>
                  <w:rFonts w:cstheme="minorHAnsi"/>
                </w:rPr>
                <w:t>https://medicinraadet.dk/igangvaerende-vurderinger/igangvaerende-vurderinger-af-nye-laegemidler-eller-indikationsudvidelser/cemiplimab-libtayo</w:t>
              </w:r>
            </w:hyperlink>
            <w:r w:rsidR="00F462DF" w:rsidRPr="00EA21C7">
              <w:rPr>
                <w:rFonts w:cstheme="minorHAnsi"/>
                <w:color w:val="000000"/>
              </w:rPr>
              <w:t xml:space="preserve"> </w:t>
            </w:r>
          </w:p>
        </w:tc>
      </w:tr>
    </w:tbl>
    <w:p w14:paraId="7FEDAF30" w14:textId="77777777" w:rsidR="00242DC8" w:rsidRPr="002A1394" w:rsidRDefault="00242DC8">
      <w:pPr>
        <w:rPr>
          <w:rFonts w:cstheme="minorHAnsi"/>
        </w:rPr>
      </w:pPr>
    </w:p>
    <w:sectPr w:rsidR="00242DC8" w:rsidRPr="002A1394" w:rsidSect="00E21C21">
      <w:headerReference w:type="default" r:id="rId19"/>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EFE4" w14:textId="77777777" w:rsidR="00CC6FBD" w:rsidRDefault="00CC6FBD" w:rsidP="00A44503">
      <w:pPr>
        <w:spacing w:after="0" w:line="240" w:lineRule="auto"/>
      </w:pPr>
      <w:r>
        <w:separator/>
      </w:r>
    </w:p>
  </w:endnote>
  <w:endnote w:type="continuationSeparator" w:id="0">
    <w:p w14:paraId="70CB20F7" w14:textId="77777777" w:rsidR="00CC6FBD" w:rsidRDefault="00CC6FBD" w:rsidP="00A4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cala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70B7A" w14:textId="77777777" w:rsidR="00CC6FBD" w:rsidRDefault="00CC6FBD" w:rsidP="00A44503">
      <w:pPr>
        <w:spacing w:after="0" w:line="240" w:lineRule="auto"/>
      </w:pPr>
      <w:r>
        <w:separator/>
      </w:r>
    </w:p>
  </w:footnote>
  <w:footnote w:type="continuationSeparator" w:id="0">
    <w:p w14:paraId="0AB0EF6E" w14:textId="77777777" w:rsidR="00CC6FBD" w:rsidRDefault="00CC6FBD" w:rsidP="00A44503">
      <w:pPr>
        <w:spacing w:after="0" w:line="240" w:lineRule="auto"/>
      </w:pPr>
      <w:r>
        <w:continuationSeparator/>
      </w:r>
    </w:p>
  </w:footnote>
  <w:footnote w:id="1">
    <w:p w14:paraId="726C9E93" w14:textId="14B2B8D9" w:rsidR="00E21C21" w:rsidRDefault="00E21C21">
      <w:pPr>
        <w:pStyle w:val="Alaviitteenteksti"/>
        <w:rPr>
          <w:rFonts w:asciiTheme="minorHAnsi" w:hAnsiTheme="minorHAnsi"/>
          <w:sz w:val="16"/>
          <w:szCs w:val="16"/>
        </w:rPr>
      </w:pPr>
      <w:r w:rsidRPr="006C4453">
        <w:rPr>
          <w:rStyle w:val="Alaviitteenviite"/>
          <w:rFonts w:asciiTheme="minorHAnsi" w:hAnsiTheme="minorHAnsi"/>
          <w:sz w:val="16"/>
          <w:szCs w:val="16"/>
        </w:rPr>
        <w:footnoteRef/>
      </w:r>
      <w:r w:rsidRPr="006C4453">
        <w:rPr>
          <w:rFonts w:asciiTheme="minorHAnsi" w:hAnsiTheme="minorHAnsi"/>
          <w:sz w:val="16"/>
          <w:szCs w:val="16"/>
        </w:rPr>
        <w:t xml:space="preserve"> </w:t>
      </w:r>
      <w:r>
        <w:rPr>
          <w:rFonts w:asciiTheme="minorHAnsi" w:hAnsiTheme="minorHAnsi"/>
          <w:sz w:val="16"/>
          <w:szCs w:val="16"/>
        </w:rPr>
        <w:t xml:space="preserve">Hyvärinen A, Härkönen U, Kiviniemi V. Semiplimabi ihon okasolusyövän hoidossa. Fimea kehittää ja arvioi 7/2019. </w:t>
      </w:r>
      <w:hyperlink r:id="rId1" w:history="1">
        <w:r w:rsidRPr="00654F3D">
          <w:rPr>
            <w:rStyle w:val="Hyperlinkki"/>
            <w:rFonts w:asciiTheme="minorHAnsi" w:hAnsiTheme="minorHAnsi"/>
            <w:sz w:val="16"/>
            <w:szCs w:val="16"/>
          </w:rPr>
          <w:t>https://www.fimea.fi/kehittaminen/hoidollinen_ja_taloudellinen_arvo/arvioinnit</w:t>
        </w:r>
      </w:hyperlink>
      <w:r>
        <w:rPr>
          <w:rFonts w:asciiTheme="minorHAnsi" w:hAnsiTheme="minorHAnsi"/>
          <w:sz w:val="16"/>
          <w:szCs w:val="16"/>
        </w:rPr>
        <w:t>.</w:t>
      </w:r>
    </w:p>
    <w:p w14:paraId="1F27B944" w14:textId="77777777" w:rsidR="00E21C21" w:rsidRDefault="00E21C21">
      <w:pPr>
        <w:pStyle w:val="Alaviitteenteksti"/>
        <w:rPr>
          <w:rFonts w:asciiTheme="minorHAnsi" w:hAnsiTheme="minorHAnsi"/>
          <w:sz w:val="16"/>
          <w:szCs w:val="16"/>
        </w:rPr>
      </w:pPr>
    </w:p>
    <w:p w14:paraId="1D74775B" w14:textId="77777777" w:rsidR="00E21C21" w:rsidRPr="006C4453" w:rsidRDefault="00E21C21">
      <w:pPr>
        <w:pStyle w:val="Alaviitteenteksti"/>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3" w:type="dxa"/>
      <w:tblLayout w:type="fixed"/>
      <w:tblCellMar>
        <w:left w:w="0" w:type="dxa"/>
        <w:right w:w="0" w:type="dxa"/>
      </w:tblCellMar>
      <w:tblLook w:val="0000" w:firstRow="0" w:lastRow="0" w:firstColumn="0" w:lastColumn="0" w:noHBand="0" w:noVBand="0"/>
    </w:tblPr>
    <w:tblGrid>
      <w:gridCol w:w="4395"/>
      <w:gridCol w:w="3260"/>
      <w:gridCol w:w="1701"/>
      <w:gridCol w:w="997"/>
    </w:tblGrid>
    <w:tr w:rsidR="00E21C21" w14:paraId="3872AF7C" w14:textId="77777777" w:rsidTr="00E21C21">
      <w:trPr>
        <w:cantSplit/>
      </w:trPr>
      <w:tc>
        <w:tcPr>
          <w:tcW w:w="4395" w:type="dxa"/>
          <w:vMerge w:val="restart"/>
        </w:tcPr>
        <w:p w14:paraId="39CC4669" w14:textId="77777777" w:rsidR="00E21C21" w:rsidRDefault="00E21C21" w:rsidP="00E21C21">
          <w:pPr>
            <w:pStyle w:val="STMnormaali"/>
          </w:pPr>
          <w:r>
            <w:rPr>
              <w:noProof/>
              <w:lang w:eastAsia="fi-FI"/>
            </w:rPr>
            <w:drawing>
              <wp:anchor distT="0" distB="0" distL="114300" distR="114300" simplePos="0" relativeHeight="251657216" behindDoc="0" locked="0" layoutInCell="1" allowOverlap="1" wp14:anchorId="24E18C23" wp14:editId="7BC9D5AE">
                <wp:simplePos x="0" y="0"/>
                <wp:positionH relativeFrom="column">
                  <wp:posOffset>-215265</wp:posOffset>
                </wp:positionH>
                <wp:positionV relativeFrom="paragraph">
                  <wp:posOffset>-44013</wp:posOffset>
                </wp:positionV>
                <wp:extent cx="2146935" cy="601980"/>
                <wp:effectExtent l="0" t="0" r="5715" b="762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tcMar>
            <w:right w:w="284" w:type="dxa"/>
          </w:tcMar>
        </w:tcPr>
        <w:p w14:paraId="6CB5F824" w14:textId="77777777" w:rsidR="00E21C21" w:rsidRDefault="00E21C21" w:rsidP="00E21C21">
          <w:pPr>
            <w:pStyle w:val="STMnormaali"/>
          </w:pPr>
        </w:p>
      </w:tc>
      <w:tc>
        <w:tcPr>
          <w:tcW w:w="1701" w:type="dxa"/>
        </w:tcPr>
        <w:p w14:paraId="1BFD80A8" w14:textId="77777777" w:rsidR="00E21C21" w:rsidRDefault="00E21C21" w:rsidP="00E21C21">
          <w:pPr>
            <w:pStyle w:val="STMnormaali"/>
          </w:pPr>
        </w:p>
      </w:tc>
      <w:tc>
        <w:tcPr>
          <w:tcW w:w="997" w:type="dxa"/>
        </w:tcPr>
        <w:p w14:paraId="673D5F02" w14:textId="77777777" w:rsidR="00E21C21" w:rsidRDefault="00E21C21" w:rsidP="00E21C21">
          <w:pPr>
            <w:pStyle w:val="STMnormaali"/>
            <w:rPr>
              <w:rStyle w:val="Sivunumero"/>
              <w:lang w:eastAsia="fi-FI"/>
            </w:rPr>
          </w:pPr>
        </w:p>
      </w:tc>
    </w:tr>
    <w:tr w:rsidR="00E21C21" w14:paraId="3D2611DA" w14:textId="77777777" w:rsidTr="00E21C21">
      <w:trPr>
        <w:cantSplit/>
      </w:trPr>
      <w:tc>
        <w:tcPr>
          <w:tcW w:w="4395" w:type="dxa"/>
          <w:vMerge/>
        </w:tcPr>
        <w:p w14:paraId="22C30722" w14:textId="77777777" w:rsidR="00E21C21" w:rsidRDefault="00E21C21" w:rsidP="00E21C21">
          <w:pPr>
            <w:pStyle w:val="STMnormaali"/>
            <w:rPr>
              <w:rStyle w:val="Sivunumero"/>
              <w:lang w:eastAsia="fi-FI"/>
            </w:rPr>
          </w:pPr>
        </w:p>
      </w:tc>
      <w:tc>
        <w:tcPr>
          <w:tcW w:w="3260" w:type="dxa"/>
          <w:tcMar>
            <w:right w:w="284" w:type="dxa"/>
          </w:tcMar>
        </w:tcPr>
        <w:p w14:paraId="2EF56A16" w14:textId="1F727532" w:rsidR="00E21C21" w:rsidRDefault="00E21C21" w:rsidP="00E21C21">
          <w:pPr>
            <w:pStyle w:val="STMnormaali"/>
            <w:rPr>
              <w:rStyle w:val="Sivunumero"/>
              <w:lang w:eastAsia="fi-FI"/>
            </w:rPr>
          </w:pPr>
          <w:r>
            <w:rPr>
              <w:rStyle w:val="Sivunumero"/>
              <w:lang w:eastAsia="fi-FI"/>
            </w:rPr>
            <w:t>Suositusluonnos</w:t>
          </w:r>
        </w:p>
      </w:tc>
      <w:tc>
        <w:tcPr>
          <w:tcW w:w="1701" w:type="dxa"/>
        </w:tcPr>
        <w:p w14:paraId="17F39374" w14:textId="77777777" w:rsidR="00E21C21" w:rsidRDefault="00E21C21" w:rsidP="00E21C21">
          <w:pPr>
            <w:pStyle w:val="STMnormaali"/>
            <w:rPr>
              <w:rStyle w:val="Sivunumero"/>
              <w:lang w:eastAsia="fi-FI"/>
            </w:rPr>
          </w:pPr>
        </w:p>
      </w:tc>
      <w:tc>
        <w:tcPr>
          <w:tcW w:w="997" w:type="dxa"/>
        </w:tcPr>
        <w:p w14:paraId="766C8B39" w14:textId="77777777" w:rsidR="00E21C21" w:rsidRDefault="00E21C21" w:rsidP="00E21C21">
          <w:pPr>
            <w:pStyle w:val="STMnormaali"/>
            <w:rPr>
              <w:rStyle w:val="Sivunumero"/>
              <w:lang w:eastAsia="fi-FI"/>
            </w:rPr>
          </w:pPr>
        </w:p>
      </w:tc>
    </w:tr>
    <w:tr w:rsidR="00E21C21" w14:paraId="25E4A23D" w14:textId="77777777" w:rsidTr="00E21C21">
      <w:trPr>
        <w:cantSplit/>
      </w:trPr>
      <w:tc>
        <w:tcPr>
          <w:tcW w:w="4395" w:type="dxa"/>
        </w:tcPr>
        <w:p w14:paraId="7887B3AE" w14:textId="77777777" w:rsidR="00E21C21" w:rsidRDefault="00E21C21" w:rsidP="00E21C21">
          <w:pPr>
            <w:pStyle w:val="STMnormaali"/>
            <w:rPr>
              <w:rStyle w:val="Sivunumero"/>
              <w:lang w:eastAsia="fi-FI"/>
            </w:rPr>
          </w:pPr>
        </w:p>
      </w:tc>
      <w:tc>
        <w:tcPr>
          <w:tcW w:w="3260" w:type="dxa"/>
          <w:tcMar>
            <w:right w:w="284" w:type="dxa"/>
          </w:tcMar>
        </w:tcPr>
        <w:p w14:paraId="0905121A" w14:textId="77777777" w:rsidR="00E21C21" w:rsidRDefault="00E21C21" w:rsidP="00E21C21">
          <w:pPr>
            <w:pStyle w:val="STMnormaali"/>
            <w:rPr>
              <w:rStyle w:val="Sivunumero"/>
              <w:lang w:eastAsia="fi-FI"/>
            </w:rPr>
          </w:pPr>
        </w:p>
      </w:tc>
      <w:tc>
        <w:tcPr>
          <w:tcW w:w="2698" w:type="dxa"/>
          <w:gridSpan w:val="2"/>
        </w:tcPr>
        <w:p w14:paraId="22941489" w14:textId="77777777" w:rsidR="00E21C21" w:rsidRDefault="00E21C21" w:rsidP="00E21C21">
          <w:pPr>
            <w:pStyle w:val="STMnormaali"/>
            <w:rPr>
              <w:rStyle w:val="Sivunumero"/>
              <w:lang w:eastAsia="fi-FI"/>
            </w:rPr>
          </w:pPr>
        </w:p>
      </w:tc>
    </w:tr>
    <w:tr w:rsidR="00E21C21" w14:paraId="5D21ED45" w14:textId="77777777" w:rsidTr="00E21C21">
      <w:tc>
        <w:tcPr>
          <w:tcW w:w="4395" w:type="dxa"/>
        </w:tcPr>
        <w:p w14:paraId="4F30C92A" w14:textId="77777777" w:rsidR="00E21C21" w:rsidRDefault="00E21C21" w:rsidP="00E21C21">
          <w:pPr>
            <w:pStyle w:val="STMnormaali"/>
            <w:rPr>
              <w:rStyle w:val="Sivunumero"/>
              <w:lang w:eastAsia="fi-FI"/>
            </w:rPr>
          </w:pPr>
        </w:p>
      </w:tc>
      <w:tc>
        <w:tcPr>
          <w:tcW w:w="3260" w:type="dxa"/>
          <w:tcMar>
            <w:right w:w="284" w:type="dxa"/>
          </w:tcMar>
        </w:tcPr>
        <w:p w14:paraId="1DA22348" w14:textId="77777777" w:rsidR="00E21C21" w:rsidRDefault="00E21C21" w:rsidP="00E21C21">
          <w:pPr>
            <w:pStyle w:val="STMnormaali"/>
            <w:rPr>
              <w:rStyle w:val="Sivunumero"/>
              <w:lang w:eastAsia="fi-FI"/>
            </w:rPr>
          </w:pPr>
        </w:p>
      </w:tc>
      <w:tc>
        <w:tcPr>
          <w:tcW w:w="1701" w:type="dxa"/>
        </w:tcPr>
        <w:p w14:paraId="70303E85" w14:textId="77777777" w:rsidR="00E21C21" w:rsidRPr="009B100F" w:rsidRDefault="00E21C21" w:rsidP="00E21C21">
          <w:pPr>
            <w:pStyle w:val="STMnormaali"/>
            <w:rPr>
              <w:rStyle w:val="Sivunumero"/>
              <w:lang w:eastAsia="fi-FI"/>
            </w:rPr>
          </w:pPr>
        </w:p>
        <w:p w14:paraId="05DB6B75" w14:textId="77777777" w:rsidR="00E21C21" w:rsidRDefault="00E21C21" w:rsidP="00E21C21">
          <w:pPr>
            <w:pStyle w:val="STMnormaali"/>
            <w:rPr>
              <w:rStyle w:val="Sivunumero"/>
              <w:lang w:eastAsia="fi-FI"/>
            </w:rPr>
          </w:pPr>
        </w:p>
      </w:tc>
      <w:tc>
        <w:tcPr>
          <w:tcW w:w="997" w:type="dxa"/>
        </w:tcPr>
        <w:p w14:paraId="4DB613C9" w14:textId="77777777" w:rsidR="00E21C21" w:rsidRDefault="00E21C21" w:rsidP="00E21C21">
          <w:pPr>
            <w:pStyle w:val="STMnormaali"/>
            <w:rPr>
              <w:rStyle w:val="Sivunumero"/>
              <w:lang w:eastAsia="fi-FI"/>
            </w:rPr>
          </w:pPr>
        </w:p>
      </w:tc>
    </w:tr>
  </w:tbl>
  <w:p w14:paraId="79985571" w14:textId="7664AE97" w:rsidR="00E21C21" w:rsidRDefault="00E21C21" w:rsidP="00E21C21">
    <w:pPr>
      <w:pStyle w:val="STMnormaali"/>
    </w:pPr>
    <w:r>
      <w:t xml:space="preserve">  </w:t>
    </w:r>
    <w:r w:rsidR="00370909">
      <w:t>3</w:t>
    </w:r>
    <w:r w:rsidR="007908E7">
      <w:t>0</w:t>
    </w:r>
    <w:r>
      <w:t>.10.2019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E21C21" w14:paraId="17C53790" w14:textId="77777777" w:rsidTr="00E21C21">
      <w:trPr>
        <w:cantSplit/>
      </w:trPr>
      <w:tc>
        <w:tcPr>
          <w:tcW w:w="4255" w:type="dxa"/>
          <w:vMerge w:val="restart"/>
        </w:tcPr>
        <w:p w14:paraId="3F6A8F31" w14:textId="77777777" w:rsidR="00E21C21" w:rsidRDefault="00E21C21" w:rsidP="00E21C21">
          <w:pPr>
            <w:pStyle w:val="STMnormaali"/>
          </w:pPr>
          <w:r>
            <w:rPr>
              <w:noProof/>
              <w:lang w:eastAsia="fi-FI"/>
            </w:rPr>
            <w:drawing>
              <wp:anchor distT="0" distB="0" distL="114300" distR="114300" simplePos="0" relativeHeight="251658240" behindDoc="0" locked="0" layoutInCell="1" allowOverlap="1" wp14:anchorId="0917728B" wp14:editId="6391FB90">
                <wp:simplePos x="0" y="0"/>
                <wp:positionH relativeFrom="column">
                  <wp:posOffset>-215265</wp:posOffset>
                </wp:positionH>
                <wp:positionV relativeFrom="paragraph">
                  <wp:posOffset>-44013</wp:posOffset>
                </wp:positionV>
                <wp:extent cx="2146935" cy="601980"/>
                <wp:effectExtent l="0" t="0" r="5715" b="762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76042C5B" w14:textId="77777777" w:rsidR="00E21C21" w:rsidRDefault="00E21C21" w:rsidP="00E21C21">
          <w:pPr>
            <w:pStyle w:val="STMnormaali"/>
          </w:pPr>
        </w:p>
      </w:tc>
      <w:tc>
        <w:tcPr>
          <w:tcW w:w="1701" w:type="dxa"/>
        </w:tcPr>
        <w:p w14:paraId="19268BEF" w14:textId="77777777" w:rsidR="00E21C21" w:rsidRDefault="00E21C21" w:rsidP="00E21C21">
          <w:pPr>
            <w:pStyle w:val="STMnormaali"/>
          </w:pPr>
        </w:p>
      </w:tc>
      <w:tc>
        <w:tcPr>
          <w:tcW w:w="997" w:type="dxa"/>
        </w:tcPr>
        <w:p w14:paraId="76D30073" w14:textId="77777777" w:rsidR="00E21C21" w:rsidRDefault="00E21C21" w:rsidP="00E21C21">
          <w:pPr>
            <w:pStyle w:val="STMnormaali"/>
            <w:rPr>
              <w:rStyle w:val="Sivunumero"/>
              <w:lang w:eastAsia="fi-FI"/>
            </w:rPr>
          </w:pPr>
        </w:p>
      </w:tc>
    </w:tr>
    <w:tr w:rsidR="00E21C21" w14:paraId="070964E6" w14:textId="77777777" w:rsidTr="00E21C21">
      <w:trPr>
        <w:cantSplit/>
      </w:trPr>
      <w:tc>
        <w:tcPr>
          <w:tcW w:w="4255" w:type="dxa"/>
          <w:vMerge/>
        </w:tcPr>
        <w:p w14:paraId="03F1457D" w14:textId="77777777" w:rsidR="00E21C21" w:rsidRDefault="00E21C21" w:rsidP="00E21C21">
          <w:pPr>
            <w:pStyle w:val="STMnormaali"/>
            <w:rPr>
              <w:rStyle w:val="Sivunumero"/>
              <w:lang w:eastAsia="fi-FI"/>
            </w:rPr>
          </w:pPr>
        </w:p>
      </w:tc>
      <w:tc>
        <w:tcPr>
          <w:tcW w:w="3400" w:type="dxa"/>
          <w:tcMar>
            <w:right w:w="284" w:type="dxa"/>
          </w:tcMar>
        </w:tcPr>
        <w:p w14:paraId="5A038C66" w14:textId="322B3EE8" w:rsidR="00E21C21" w:rsidRDefault="00E21C21" w:rsidP="00E21C21">
          <w:pPr>
            <w:pStyle w:val="STMnormaali"/>
            <w:rPr>
              <w:rStyle w:val="Sivunumero"/>
              <w:lang w:eastAsia="fi-FI"/>
            </w:rPr>
          </w:pPr>
        </w:p>
      </w:tc>
      <w:tc>
        <w:tcPr>
          <w:tcW w:w="1701" w:type="dxa"/>
        </w:tcPr>
        <w:p w14:paraId="552E038A" w14:textId="77777777" w:rsidR="00E21C21" w:rsidRDefault="00E21C21" w:rsidP="00E21C21">
          <w:pPr>
            <w:pStyle w:val="STMnormaali"/>
            <w:rPr>
              <w:rStyle w:val="Sivunumero"/>
              <w:lang w:eastAsia="fi-FI"/>
            </w:rPr>
          </w:pPr>
        </w:p>
      </w:tc>
      <w:tc>
        <w:tcPr>
          <w:tcW w:w="997" w:type="dxa"/>
        </w:tcPr>
        <w:p w14:paraId="614AA0D8" w14:textId="32164870" w:rsidR="00E21C21" w:rsidRDefault="00E21C21" w:rsidP="00E21C21">
          <w:pPr>
            <w:pStyle w:val="STMnormaali"/>
            <w:rPr>
              <w:rStyle w:val="Sivunumero"/>
              <w:lang w:eastAsia="fi-FI"/>
            </w:rPr>
          </w:pPr>
          <w:r w:rsidRPr="00122E73">
            <w:rPr>
              <w:rStyle w:val="Sivunumero"/>
              <w:lang w:eastAsia="fi-FI"/>
            </w:rPr>
            <w:fldChar w:fldCharType="begin"/>
          </w:r>
          <w:r w:rsidRPr="00122E73">
            <w:rPr>
              <w:rStyle w:val="Sivunumero"/>
              <w:lang w:eastAsia="fi-FI"/>
            </w:rPr>
            <w:instrText>PAGE   \* MERGEFORMAT</w:instrText>
          </w:r>
          <w:r w:rsidRPr="00122E73">
            <w:rPr>
              <w:rStyle w:val="Sivunumero"/>
              <w:lang w:eastAsia="fi-FI"/>
            </w:rPr>
            <w:fldChar w:fldCharType="separate"/>
          </w:r>
          <w:r w:rsidR="00CD6171">
            <w:rPr>
              <w:rStyle w:val="Sivunumero"/>
              <w:noProof/>
              <w:lang w:eastAsia="fi-FI"/>
            </w:rPr>
            <w:t>7</w:t>
          </w:r>
          <w:r w:rsidRPr="00122E73">
            <w:rPr>
              <w:rStyle w:val="Sivunumero"/>
              <w:lang w:eastAsia="fi-FI"/>
            </w:rPr>
            <w:fldChar w:fldCharType="end"/>
          </w:r>
          <w:r>
            <w:rPr>
              <w:rStyle w:val="Sivunumero"/>
              <w:lang w:eastAsia="fi-FI"/>
            </w:rPr>
            <w:t>(xx)</w:t>
          </w:r>
        </w:p>
      </w:tc>
    </w:tr>
    <w:tr w:rsidR="00E21C21" w14:paraId="146A8630" w14:textId="77777777" w:rsidTr="00E21C21">
      <w:trPr>
        <w:cantSplit/>
      </w:trPr>
      <w:tc>
        <w:tcPr>
          <w:tcW w:w="4255" w:type="dxa"/>
        </w:tcPr>
        <w:p w14:paraId="0E708AA6" w14:textId="77777777" w:rsidR="00E21C21" w:rsidRDefault="00E21C21" w:rsidP="00E21C21">
          <w:pPr>
            <w:pStyle w:val="STMnormaali"/>
            <w:rPr>
              <w:rStyle w:val="Sivunumero"/>
              <w:lang w:eastAsia="fi-FI"/>
            </w:rPr>
          </w:pPr>
        </w:p>
      </w:tc>
      <w:tc>
        <w:tcPr>
          <w:tcW w:w="3400" w:type="dxa"/>
          <w:tcMar>
            <w:right w:w="284" w:type="dxa"/>
          </w:tcMar>
        </w:tcPr>
        <w:p w14:paraId="0E83B389" w14:textId="77777777" w:rsidR="00E21C21" w:rsidRDefault="00E21C21" w:rsidP="00E21C21">
          <w:pPr>
            <w:pStyle w:val="STMnormaali"/>
            <w:rPr>
              <w:rStyle w:val="Sivunumero"/>
              <w:lang w:eastAsia="fi-FI"/>
            </w:rPr>
          </w:pPr>
        </w:p>
      </w:tc>
      <w:tc>
        <w:tcPr>
          <w:tcW w:w="2698" w:type="dxa"/>
          <w:gridSpan w:val="2"/>
        </w:tcPr>
        <w:p w14:paraId="6D8B4F35" w14:textId="77777777" w:rsidR="00E21C21" w:rsidRDefault="00E21C21" w:rsidP="00E21C21">
          <w:pPr>
            <w:pStyle w:val="STMnormaali"/>
            <w:rPr>
              <w:rStyle w:val="Sivunumero"/>
              <w:lang w:eastAsia="fi-FI"/>
            </w:rPr>
          </w:pPr>
        </w:p>
      </w:tc>
    </w:tr>
    <w:tr w:rsidR="00E21C21" w14:paraId="6D47B83A" w14:textId="77777777" w:rsidTr="00E21C21">
      <w:tc>
        <w:tcPr>
          <w:tcW w:w="4255" w:type="dxa"/>
        </w:tcPr>
        <w:p w14:paraId="55AAA27F" w14:textId="77777777" w:rsidR="00E21C21" w:rsidRDefault="00E21C21" w:rsidP="00E21C21">
          <w:pPr>
            <w:pStyle w:val="STMnormaali"/>
            <w:rPr>
              <w:rStyle w:val="Sivunumero"/>
              <w:lang w:eastAsia="fi-FI"/>
            </w:rPr>
          </w:pPr>
        </w:p>
      </w:tc>
      <w:tc>
        <w:tcPr>
          <w:tcW w:w="3400" w:type="dxa"/>
          <w:tcMar>
            <w:right w:w="284" w:type="dxa"/>
          </w:tcMar>
        </w:tcPr>
        <w:p w14:paraId="0E28D1C9" w14:textId="77777777" w:rsidR="00E21C21" w:rsidRDefault="00E21C21" w:rsidP="00E21C21">
          <w:pPr>
            <w:pStyle w:val="STMnormaali"/>
            <w:rPr>
              <w:rStyle w:val="Sivunumero"/>
              <w:lang w:eastAsia="fi-FI"/>
            </w:rPr>
          </w:pPr>
        </w:p>
      </w:tc>
      <w:tc>
        <w:tcPr>
          <w:tcW w:w="1701" w:type="dxa"/>
        </w:tcPr>
        <w:p w14:paraId="4F04B1DC" w14:textId="77777777" w:rsidR="00E21C21" w:rsidRPr="009B100F" w:rsidRDefault="00E21C21" w:rsidP="00E21C21">
          <w:pPr>
            <w:pStyle w:val="STMnormaali"/>
            <w:rPr>
              <w:rStyle w:val="Sivunumero"/>
              <w:lang w:eastAsia="fi-FI"/>
            </w:rPr>
          </w:pPr>
        </w:p>
        <w:p w14:paraId="0228145A" w14:textId="77777777" w:rsidR="00E21C21" w:rsidRPr="009B100F" w:rsidRDefault="00E21C21" w:rsidP="00E21C21">
          <w:pPr>
            <w:pStyle w:val="STMnormaali"/>
            <w:rPr>
              <w:rStyle w:val="Sivunumero"/>
              <w:lang w:eastAsia="fi-FI"/>
            </w:rPr>
          </w:pPr>
          <w:r w:rsidRPr="009B100F">
            <w:rPr>
              <w:rStyle w:val="Sivunumero"/>
              <w:lang w:eastAsia="fi-FI"/>
            </w:rPr>
            <w:t>STM038:00/2017</w:t>
          </w:r>
        </w:p>
        <w:p w14:paraId="56A1627D" w14:textId="77777777" w:rsidR="00E21C21" w:rsidRDefault="00E21C21" w:rsidP="00E21C21">
          <w:pPr>
            <w:pStyle w:val="STMnormaali"/>
            <w:rPr>
              <w:rStyle w:val="Sivunumero"/>
              <w:lang w:eastAsia="fi-FI"/>
            </w:rPr>
          </w:pPr>
        </w:p>
      </w:tc>
      <w:tc>
        <w:tcPr>
          <w:tcW w:w="997" w:type="dxa"/>
        </w:tcPr>
        <w:p w14:paraId="084C2C2F" w14:textId="77777777" w:rsidR="00E21C21" w:rsidRDefault="00E21C21" w:rsidP="00E21C21">
          <w:pPr>
            <w:pStyle w:val="STMnormaali"/>
            <w:rPr>
              <w:rStyle w:val="Sivunumero"/>
              <w:lang w:eastAsia="fi-FI"/>
            </w:rPr>
          </w:pPr>
        </w:p>
      </w:tc>
    </w:tr>
  </w:tbl>
  <w:p w14:paraId="737368E7" w14:textId="77777777" w:rsidR="00E21C21" w:rsidRPr="00FE0E29" w:rsidRDefault="00E21C21" w:rsidP="00E21C2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B5C"/>
    <w:multiLevelType w:val="hybridMultilevel"/>
    <w:tmpl w:val="2416C116"/>
    <w:lvl w:ilvl="0" w:tplc="4F1437C6">
      <w:start w:val="1"/>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494C78"/>
    <w:multiLevelType w:val="hybridMultilevel"/>
    <w:tmpl w:val="CA5E1D74"/>
    <w:lvl w:ilvl="0" w:tplc="E04E936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4C0E80"/>
    <w:multiLevelType w:val="hybridMultilevel"/>
    <w:tmpl w:val="B04CFCA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51D0A6E"/>
    <w:multiLevelType w:val="hybridMultilevel"/>
    <w:tmpl w:val="A4F00652"/>
    <w:lvl w:ilvl="0" w:tplc="782A7C0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69A1E85"/>
    <w:multiLevelType w:val="hybridMultilevel"/>
    <w:tmpl w:val="FC8E8C1C"/>
    <w:lvl w:ilvl="0" w:tplc="88CC6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F2AFA"/>
    <w:multiLevelType w:val="hybridMultilevel"/>
    <w:tmpl w:val="FCD06B44"/>
    <w:lvl w:ilvl="0" w:tplc="74A699C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C91020C"/>
    <w:multiLevelType w:val="multilevel"/>
    <w:tmpl w:val="208AD0AC"/>
    <w:lvl w:ilvl="0">
      <w:start w:val="1"/>
      <w:numFmt w:val="decimal"/>
      <w:pStyle w:val="Otsikko2"/>
      <w:lvlText w:val="%1."/>
      <w:lvlJc w:val="left"/>
      <w:pPr>
        <w:ind w:left="360" w:hanging="360"/>
      </w:pPr>
      <w:rPr>
        <w:rFonts w:hint="default"/>
      </w:rPr>
    </w:lvl>
    <w:lvl w:ilvl="1">
      <w:start w:val="1"/>
      <w:numFmt w:val="decimal"/>
      <w:pStyle w:val="Otsikko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1B6654"/>
    <w:multiLevelType w:val="hybridMultilevel"/>
    <w:tmpl w:val="E5F0AA6C"/>
    <w:lvl w:ilvl="0" w:tplc="88CC6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75753"/>
    <w:multiLevelType w:val="hybridMultilevel"/>
    <w:tmpl w:val="C5EA2D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51E33AF4"/>
    <w:multiLevelType w:val="hybridMultilevel"/>
    <w:tmpl w:val="51EAE130"/>
    <w:lvl w:ilvl="0" w:tplc="2D86DEA8">
      <w:start w:val="1"/>
      <w:numFmt w:val="bullet"/>
      <w:lvlText w:val=""/>
      <w:lvlJc w:val="left"/>
      <w:pPr>
        <w:ind w:left="3215" w:hanging="360"/>
      </w:pPr>
      <w:rPr>
        <w:rFonts w:ascii="Symbol" w:hAnsi="Symbol" w:hint="default"/>
      </w:rPr>
    </w:lvl>
    <w:lvl w:ilvl="1" w:tplc="87041FAE">
      <w:start w:val="1"/>
      <w:numFmt w:val="bullet"/>
      <w:pStyle w:val="LuetteloViiva"/>
      <w:lvlText w:val=""/>
      <w:lvlJc w:val="left"/>
      <w:pPr>
        <w:ind w:left="1440" w:hanging="360"/>
      </w:pPr>
      <w:rPr>
        <w:rFonts w:ascii="Symbol" w:hAnsi="Symbol" w:hint="default"/>
      </w:rPr>
    </w:lvl>
    <w:lvl w:ilvl="2" w:tplc="49E677FA">
      <w:start w:val="1"/>
      <w:numFmt w:val="bullet"/>
      <w:lvlText w:val=""/>
      <w:lvlJc w:val="left"/>
      <w:pPr>
        <w:ind w:left="2160" w:hanging="360"/>
      </w:pPr>
      <w:rPr>
        <w:rFonts w:ascii="Wingdings" w:hAnsi="Wingdings" w:hint="default"/>
      </w:rPr>
    </w:lvl>
    <w:lvl w:ilvl="3" w:tplc="AE4064EE">
      <w:start w:val="4"/>
      <w:numFmt w:val="bullet"/>
      <w:lvlText w:val=""/>
      <w:lvlJc w:val="left"/>
      <w:pPr>
        <w:ind w:left="2880" w:hanging="360"/>
      </w:pPr>
      <w:rPr>
        <w:rFonts w:ascii="Wingdings" w:eastAsiaTheme="minorHAnsi" w:hAnsi="Wingdings" w:cs="Arial" w:hint="default"/>
      </w:rPr>
    </w:lvl>
    <w:lvl w:ilvl="4" w:tplc="AAA2975E" w:tentative="1">
      <w:start w:val="1"/>
      <w:numFmt w:val="bullet"/>
      <w:lvlText w:val="o"/>
      <w:lvlJc w:val="left"/>
      <w:pPr>
        <w:ind w:left="3600" w:hanging="360"/>
      </w:pPr>
      <w:rPr>
        <w:rFonts w:ascii="Courier New" w:hAnsi="Courier New" w:cs="Courier New" w:hint="default"/>
      </w:rPr>
    </w:lvl>
    <w:lvl w:ilvl="5" w:tplc="79F08EBE" w:tentative="1">
      <w:start w:val="1"/>
      <w:numFmt w:val="bullet"/>
      <w:lvlText w:val=""/>
      <w:lvlJc w:val="left"/>
      <w:pPr>
        <w:ind w:left="4320" w:hanging="360"/>
      </w:pPr>
      <w:rPr>
        <w:rFonts w:ascii="Wingdings" w:hAnsi="Wingdings" w:hint="default"/>
      </w:rPr>
    </w:lvl>
    <w:lvl w:ilvl="6" w:tplc="7434615A" w:tentative="1">
      <w:start w:val="1"/>
      <w:numFmt w:val="bullet"/>
      <w:lvlText w:val=""/>
      <w:lvlJc w:val="left"/>
      <w:pPr>
        <w:ind w:left="5040" w:hanging="360"/>
      </w:pPr>
      <w:rPr>
        <w:rFonts w:ascii="Symbol" w:hAnsi="Symbol" w:hint="default"/>
      </w:rPr>
    </w:lvl>
    <w:lvl w:ilvl="7" w:tplc="18A02D9E" w:tentative="1">
      <w:start w:val="1"/>
      <w:numFmt w:val="bullet"/>
      <w:lvlText w:val="o"/>
      <w:lvlJc w:val="left"/>
      <w:pPr>
        <w:ind w:left="5760" w:hanging="360"/>
      </w:pPr>
      <w:rPr>
        <w:rFonts w:ascii="Courier New" w:hAnsi="Courier New" w:cs="Courier New" w:hint="default"/>
      </w:rPr>
    </w:lvl>
    <w:lvl w:ilvl="8" w:tplc="7FA677B0" w:tentative="1">
      <w:start w:val="1"/>
      <w:numFmt w:val="bullet"/>
      <w:lvlText w:val=""/>
      <w:lvlJc w:val="left"/>
      <w:pPr>
        <w:ind w:left="6480" w:hanging="360"/>
      </w:pPr>
      <w:rPr>
        <w:rFonts w:ascii="Wingdings" w:hAnsi="Wingdings" w:hint="default"/>
      </w:rPr>
    </w:lvl>
  </w:abstractNum>
  <w:abstractNum w:abstractNumId="10" w15:restartNumberingAfterBreak="0">
    <w:nsid w:val="588959A1"/>
    <w:multiLevelType w:val="hybridMultilevel"/>
    <w:tmpl w:val="5FD4E1A6"/>
    <w:lvl w:ilvl="0" w:tplc="88CC6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8158D"/>
    <w:multiLevelType w:val="hybridMultilevel"/>
    <w:tmpl w:val="0ADAA6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D3717E3"/>
    <w:multiLevelType w:val="hybridMultilevel"/>
    <w:tmpl w:val="106A356A"/>
    <w:lvl w:ilvl="0" w:tplc="88CC6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819E1"/>
    <w:multiLevelType w:val="hybridMultilevel"/>
    <w:tmpl w:val="1D023886"/>
    <w:lvl w:ilvl="0" w:tplc="782A7C0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10"/>
  </w:num>
  <w:num w:numId="5">
    <w:abstractNumId w:val="12"/>
  </w:num>
  <w:num w:numId="6">
    <w:abstractNumId w:val="4"/>
  </w:num>
  <w:num w:numId="7">
    <w:abstractNumId w:val="3"/>
  </w:num>
  <w:num w:numId="8">
    <w:abstractNumId w:val="11"/>
  </w:num>
  <w:num w:numId="9">
    <w:abstractNumId w:val="13"/>
  </w:num>
  <w:num w:numId="10">
    <w:abstractNumId w:val="5"/>
  </w:num>
  <w:num w:numId="11">
    <w:abstractNumId w:val="2"/>
  </w:num>
  <w:num w:numId="12">
    <w:abstractNumId w:val="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03"/>
    <w:rsid w:val="00001CD5"/>
    <w:rsid w:val="000040CF"/>
    <w:rsid w:val="00005C3D"/>
    <w:rsid w:val="00013F63"/>
    <w:rsid w:val="00035B01"/>
    <w:rsid w:val="00042EF0"/>
    <w:rsid w:val="00050080"/>
    <w:rsid w:val="000502F8"/>
    <w:rsid w:val="00055151"/>
    <w:rsid w:val="000562CD"/>
    <w:rsid w:val="00057EE7"/>
    <w:rsid w:val="000600C2"/>
    <w:rsid w:val="00061328"/>
    <w:rsid w:val="00065E9B"/>
    <w:rsid w:val="000709E4"/>
    <w:rsid w:val="00075022"/>
    <w:rsid w:val="00083B57"/>
    <w:rsid w:val="00091DFC"/>
    <w:rsid w:val="00095228"/>
    <w:rsid w:val="000B3ED1"/>
    <w:rsid w:val="000B4BCE"/>
    <w:rsid w:val="000B4D99"/>
    <w:rsid w:val="000C04D1"/>
    <w:rsid w:val="000C7992"/>
    <w:rsid w:val="000D3C0D"/>
    <w:rsid w:val="000E3EE1"/>
    <w:rsid w:val="000E4CEB"/>
    <w:rsid w:val="000E5464"/>
    <w:rsid w:val="000E58B2"/>
    <w:rsid w:val="000F7771"/>
    <w:rsid w:val="00100A1F"/>
    <w:rsid w:val="001017B2"/>
    <w:rsid w:val="00101E11"/>
    <w:rsid w:val="001027CF"/>
    <w:rsid w:val="00110132"/>
    <w:rsid w:val="001208F0"/>
    <w:rsid w:val="00126C93"/>
    <w:rsid w:val="00150F02"/>
    <w:rsid w:val="001615BF"/>
    <w:rsid w:val="00165B25"/>
    <w:rsid w:val="00166052"/>
    <w:rsid w:val="00166903"/>
    <w:rsid w:val="00167636"/>
    <w:rsid w:val="00172208"/>
    <w:rsid w:val="0017617A"/>
    <w:rsid w:val="00180655"/>
    <w:rsid w:val="00185A36"/>
    <w:rsid w:val="001A57F4"/>
    <w:rsid w:val="001A631A"/>
    <w:rsid w:val="001A6408"/>
    <w:rsid w:val="001A7B9C"/>
    <w:rsid w:val="001B1F7F"/>
    <w:rsid w:val="001B2400"/>
    <w:rsid w:val="001B2A94"/>
    <w:rsid w:val="001B50D4"/>
    <w:rsid w:val="001C0203"/>
    <w:rsid w:val="001E45F2"/>
    <w:rsid w:val="001E611E"/>
    <w:rsid w:val="001E7864"/>
    <w:rsid w:val="002036BC"/>
    <w:rsid w:val="00203DA9"/>
    <w:rsid w:val="00204235"/>
    <w:rsid w:val="002045EC"/>
    <w:rsid w:val="0020683C"/>
    <w:rsid w:val="00210538"/>
    <w:rsid w:val="00211748"/>
    <w:rsid w:val="002159C9"/>
    <w:rsid w:val="002163D4"/>
    <w:rsid w:val="0022111D"/>
    <w:rsid w:val="00230094"/>
    <w:rsid w:val="00230AA3"/>
    <w:rsid w:val="00231B84"/>
    <w:rsid w:val="00240101"/>
    <w:rsid w:val="00240B5F"/>
    <w:rsid w:val="00242DC8"/>
    <w:rsid w:val="00250C99"/>
    <w:rsid w:val="002604D2"/>
    <w:rsid w:val="0026220A"/>
    <w:rsid w:val="00262C23"/>
    <w:rsid w:val="00270373"/>
    <w:rsid w:val="00271DD6"/>
    <w:rsid w:val="00272713"/>
    <w:rsid w:val="0027467A"/>
    <w:rsid w:val="00274A3B"/>
    <w:rsid w:val="002772F2"/>
    <w:rsid w:val="00284A14"/>
    <w:rsid w:val="00295094"/>
    <w:rsid w:val="002A1394"/>
    <w:rsid w:val="002A48AE"/>
    <w:rsid w:val="002A5EEC"/>
    <w:rsid w:val="002B5984"/>
    <w:rsid w:val="002B5A8E"/>
    <w:rsid w:val="002B606D"/>
    <w:rsid w:val="002C303F"/>
    <w:rsid w:val="002C4A74"/>
    <w:rsid w:val="002D18D8"/>
    <w:rsid w:val="002D7886"/>
    <w:rsid w:val="002E15E1"/>
    <w:rsid w:val="002E29E8"/>
    <w:rsid w:val="002E4DE5"/>
    <w:rsid w:val="00311717"/>
    <w:rsid w:val="00311AB8"/>
    <w:rsid w:val="00311BB7"/>
    <w:rsid w:val="003239FB"/>
    <w:rsid w:val="00327165"/>
    <w:rsid w:val="003325C5"/>
    <w:rsid w:val="00340D0D"/>
    <w:rsid w:val="00342AE4"/>
    <w:rsid w:val="00366024"/>
    <w:rsid w:val="003706CB"/>
    <w:rsid w:val="00370909"/>
    <w:rsid w:val="003711EA"/>
    <w:rsid w:val="003752EC"/>
    <w:rsid w:val="00377F85"/>
    <w:rsid w:val="00383BED"/>
    <w:rsid w:val="00386384"/>
    <w:rsid w:val="003931D6"/>
    <w:rsid w:val="003A5043"/>
    <w:rsid w:val="003B42A9"/>
    <w:rsid w:val="003B7568"/>
    <w:rsid w:val="003F2DF6"/>
    <w:rsid w:val="00401B7A"/>
    <w:rsid w:val="004046C8"/>
    <w:rsid w:val="004057DB"/>
    <w:rsid w:val="00413D8D"/>
    <w:rsid w:val="004170B2"/>
    <w:rsid w:val="00423921"/>
    <w:rsid w:val="00423A4F"/>
    <w:rsid w:val="00425378"/>
    <w:rsid w:val="00427EB0"/>
    <w:rsid w:val="00444825"/>
    <w:rsid w:val="00450A6A"/>
    <w:rsid w:val="00453A3E"/>
    <w:rsid w:val="00460CF3"/>
    <w:rsid w:val="00464584"/>
    <w:rsid w:val="004758E4"/>
    <w:rsid w:val="0048122B"/>
    <w:rsid w:val="00484148"/>
    <w:rsid w:val="00484A1A"/>
    <w:rsid w:val="004904CE"/>
    <w:rsid w:val="00493A2A"/>
    <w:rsid w:val="004976D8"/>
    <w:rsid w:val="004A00A4"/>
    <w:rsid w:val="004A1C7B"/>
    <w:rsid w:val="004A393F"/>
    <w:rsid w:val="004A477D"/>
    <w:rsid w:val="004B2892"/>
    <w:rsid w:val="004C1FA4"/>
    <w:rsid w:val="004C28DB"/>
    <w:rsid w:val="004C3A5B"/>
    <w:rsid w:val="004E1E2F"/>
    <w:rsid w:val="004E3BA5"/>
    <w:rsid w:val="004E3DCE"/>
    <w:rsid w:val="004E6D89"/>
    <w:rsid w:val="004E7DC5"/>
    <w:rsid w:val="004F1397"/>
    <w:rsid w:val="004F4606"/>
    <w:rsid w:val="00502759"/>
    <w:rsid w:val="005066F1"/>
    <w:rsid w:val="00512D94"/>
    <w:rsid w:val="00513132"/>
    <w:rsid w:val="00516449"/>
    <w:rsid w:val="00517E6A"/>
    <w:rsid w:val="0052525B"/>
    <w:rsid w:val="00534E69"/>
    <w:rsid w:val="005401E9"/>
    <w:rsid w:val="005521C0"/>
    <w:rsid w:val="00553A9E"/>
    <w:rsid w:val="00557113"/>
    <w:rsid w:val="00573D76"/>
    <w:rsid w:val="0057673B"/>
    <w:rsid w:val="0058207F"/>
    <w:rsid w:val="0058408F"/>
    <w:rsid w:val="005859AE"/>
    <w:rsid w:val="005A0B73"/>
    <w:rsid w:val="005A5FF5"/>
    <w:rsid w:val="005A6324"/>
    <w:rsid w:val="005C41A4"/>
    <w:rsid w:val="005C5D60"/>
    <w:rsid w:val="005C77E2"/>
    <w:rsid w:val="005C77E4"/>
    <w:rsid w:val="005D06AC"/>
    <w:rsid w:val="005D2EF4"/>
    <w:rsid w:val="005D7C9F"/>
    <w:rsid w:val="005E11C9"/>
    <w:rsid w:val="005E42D6"/>
    <w:rsid w:val="005E6CC5"/>
    <w:rsid w:val="005E6E54"/>
    <w:rsid w:val="005F02E9"/>
    <w:rsid w:val="005F4F5E"/>
    <w:rsid w:val="005F5DBC"/>
    <w:rsid w:val="00601157"/>
    <w:rsid w:val="00635459"/>
    <w:rsid w:val="00640418"/>
    <w:rsid w:val="00641E84"/>
    <w:rsid w:val="00645AC8"/>
    <w:rsid w:val="00647534"/>
    <w:rsid w:val="00647FB7"/>
    <w:rsid w:val="00661DEF"/>
    <w:rsid w:val="006623A3"/>
    <w:rsid w:val="00666390"/>
    <w:rsid w:val="006840CE"/>
    <w:rsid w:val="00690F9A"/>
    <w:rsid w:val="00697A6E"/>
    <w:rsid w:val="006A228A"/>
    <w:rsid w:val="006A3074"/>
    <w:rsid w:val="006B0DC9"/>
    <w:rsid w:val="006B364F"/>
    <w:rsid w:val="006C0CA0"/>
    <w:rsid w:val="006C19B8"/>
    <w:rsid w:val="006C4453"/>
    <w:rsid w:val="006D7539"/>
    <w:rsid w:val="006E0A83"/>
    <w:rsid w:val="006F12E3"/>
    <w:rsid w:val="006F4C0D"/>
    <w:rsid w:val="00700B99"/>
    <w:rsid w:val="00711DC5"/>
    <w:rsid w:val="00716CEC"/>
    <w:rsid w:val="007261DE"/>
    <w:rsid w:val="00727012"/>
    <w:rsid w:val="00732357"/>
    <w:rsid w:val="00732F68"/>
    <w:rsid w:val="00737FA7"/>
    <w:rsid w:val="0075189C"/>
    <w:rsid w:val="00752830"/>
    <w:rsid w:val="00755EBD"/>
    <w:rsid w:val="007562AF"/>
    <w:rsid w:val="007572A3"/>
    <w:rsid w:val="00760562"/>
    <w:rsid w:val="007675C6"/>
    <w:rsid w:val="00773CCB"/>
    <w:rsid w:val="007802CF"/>
    <w:rsid w:val="007826AA"/>
    <w:rsid w:val="00782DAA"/>
    <w:rsid w:val="0078599D"/>
    <w:rsid w:val="00787A39"/>
    <w:rsid w:val="007908E7"/>
    <w:rsid w:val="007A609C"/>
    <w:rsid w:val="007B1737"/>
    <w:rsid w:val="007B2A4B"/>
    <w:rsid w:val="007C0D3A"/>
    <w:rsid w:val="007C49CC"/>
    <w:rsid w:val="007C732F"/>
    <w:rsid w:val="007D4A4F"/>
    <w:rsid w:val="007E4E24"/>
    <w:rsid w:val="007F4CC5"/>
    <w:rsid w:val="007F7C0F"/>
    <w:rsid w:val="00803940"/>
    <w:rsid w:val="008051A3"/>
    <w:rsid w:val="00810DCA"/>
    <w:rsid w:val="00811055"/>
    <w:rsid w:val="00811A5E"/>
    <w:rsid w:val="00815049"/>
    <w:rsid w:val="008177AA"/>
    <w:rsid w:val="00823666"/>
    <w:rsid w:val="0083157D"/>
    <w:rsid w:val="00837146"/>
    <w:rsid w:val="00837200"/>
    <w:rsid w:val="008416DF"/>
    <w:rsid w:val="00850193"/>
    <w:rsid w:val="00851EEB"/>
    <w:rsid w:val="008551F4"/>
    <w:rsid w:val="00855C14"/>
    <w:rsid w:val="00864636"/>
    <w:rsid w:val="00864940"/>
    <w:rsid w:val="008718EE"/>
    <w:rsid w:val="00873DDA"/>
    <w:rsid w:val="008836B4"/>
    <w:rsid w:val="00883A96"/>
    <w:rsid w:val="00892D3D"/>
    <w:rsid w:val="00893BB9"/>
    <w:rsid w:val="0089490A"/>
    <w:rsid w:val="00894F43"/>
    <w:rsid w:val="008A2503"/>
    <w:rsid w:val="008B027C"/>
    <w:rsid w:val="008B7F2D"/>
    <w:rsid w:val="008D09C1"/>
    <w:rsid w:val="008D15DB"/>
    <w:rsid w:val="008D5FF6"/>
    <w:rsid w:val="008E1C2A"/>
    <w:rsid w:val="008E34E7"/>
    <w:rsid w:val="008F2743"/>
    <w:rsid w:val="008F43DE"/>
    <w:rsid w:val="00912FF5"/>
    <w:rsid w:val="00921C7D"/>
    <w:rsid w:val="0092227C"/>
    <w:rsid w:val="009223FB"/>
    <w:rsid w:val="00923D79"/>
    <w:rsid w:val="009242D5"/>
    <w:rsid w:val="0092670D"/>
    <w:rsid w:val="00930891"/>
    <w:rsid w:val="00931900"/>
    <w:rsid w:val="00932D1A"/>
    <w:rsid w:val="0093424F"/>
    <w:rsid w:val="009342ED"/>
    <w:rsid w:val="009401F3"/>
    <w:rsid w:val="009421BD"/>
    <w:rsid w:val="009430E8"/>
    <w:rsid w:val="009475B9"/>
    <w:rsid w:val="00947DA4"/>
    <w:rsid w:val="00952127"/>
    <w:rsid w:val="00953943"/>
    <w:rsid w:val="00954E49"/>
    <w:rsid w:val="00961F7C"/>
    <w:rsid w:val="0096424F"/>
    <w:rsid w:val="00965014"/>
    <w:rsid w:val="00970183"/>
    <w:rsid w:val="009706FD"/>
    <w:rsid w:val="00974C35"/>
    <w:rsid w:val="00974F34"/>
    <w:rsid w:val="009778F4"/>
    <w:rsid w:val="00981155"/>
    <w:rsid w:val="00986F99"/>
    <w:rsid w:val="009871F3"/>
    <w:rsid w:val="009A10BE"/>
    <w:rsid w:val="009A546E"/>
    <w:rsid w:val="009C0105"/>
    <w:rsid w:val="009C196E"/>
    <w:rsid w:val="009C32C6"/>
    <w:rsid w:val="009C3EC7"/>
    <w:rsid w:val="009C71D5"/>
    <w:rsid w:val="009D5E22"/>
    <w:rsid w:val="009D60F3"/>
    <w:rsid w:val="009E0147"/>
    <w:rsid w:val="009E28D5"/>
    <w:rsid w:val="009E52FB"/>
    <w:rsid w:val="009F34A4"/>
    <w:rsid w:val="00A21AC8"/>
    <w:rsid w:val="00A22EDA"/>
    <w:rsid w:val="00A30597"/>
    <w:rsid w:val="00A336EF"/>
    <w:rsid w:val="00A43A4E"/>
    <w:rsid w:val="00A44503"/>
    <w:rsid w:val="00A50851"/>
    <w:rsid w:val="00A51A76"/>
    <w:rsid w:val="00A52766"/>
    <w:rsid w:val="00A55250"/>
    <w:rsid w:val="00A60090"/>
    <w:rsid w:val="00A60EC8"/>
    <w:rsid w:val="00A626ED"/>
    <w:rsid w:val="00A676FA"/>
    <w:rsid w:val="00A71C9E"/>
    <w:rsid w:val="00A75610"/>
    <w:rsid w:val="00A756F3"/>
    <w:rsid w:val="00A75EB4"/>
    <w:rsid w:val="00A847A5"/>
    <w:rsid w:val="00A90008"/>
    <w:rsid w:val="00A942B3"/>
    <w:rsid w:val="00AA08D4"/>
    <w:rsid w:val="00AA120F"/>
    <w:rsid w:val="00AA3262"/>
    <w:rsid w:val="00AB1D52"/>
    <w:rsid w:val="00AB3549"/>
    <w:rsid w:val="00AD4E88"/>
    <w:rsid w:val="00AD7A3F"/>
    <w:rsid w:val="00AE2840"/>
    <w:rsid w:val="00AE54E5"/>
    <w:rsid w:val="00AF03C4"/>
    <w:rsid w:val="00AF250C"/>
    <w:rsid w:val="00AF2F4F"/>
    <w:rsid w:val="00B05150"/>
    <w:rsid w:val="00B10201"/>
    <w:rsid w:val="00B140C1"/>
    <w:rsid w:val="00B1751A"/>
    <w:rsid w:val="00B222EA"/>
    <w:rsid w:val="00B22744"/>
    <w:rsid w:val="00B339A7"/>
    <w:rsid w:val="00B35A96"/>
    <w:rsid w:val="00B36087"/>
    <w:rsid w:val="00B374A5"/>
    <w:rsid w:val="00B42C56"/>
    <w:rsid w:val="00B44152"/>
    <w:rsid w:val="00B53D91"/>
    <w:rsid w:val="00B61F15"/>
    <w:rsid w:val="00B66231"/>
    <w:rsid w:val="00B70223"/>
    <w:rsid w:val="00B867C2"/>
    <w:rsid w:val="00B941D2"/>
    <w:rsid w:val="00BA5118"/>
    <w:rsid w:val="00BB4579"/>
    <w:rsid w:val="00BB4D6E"/>
    <w:rsid w:val="00BC07A2"/>
    <w:rsid w:val="00BC1AD4"/>
    <w:rsid w:val="00BC20AC"/>
    <w:rsid w:val="00BC26BA"/>
    <w:rsid w:val="00BC7BA3"/>
    <w:rsid w:val="00BD210A"/>
    <w:rsid w:val="00BD3C15"/>
    <w:rsid w:val="00BD54A0"/>
    <w:rsid w:val="00BD7088"/>
    <w:rsid w:val="00BE3AE3"/>
    <w:rsid w:val="00BE5B67"/>
    <w:rsid w:val="00BE7988"/>
    <w:rsid w:val="00BE7F7B"/>
    <w:rsid w:val="00BF27AA"/>
    <w:rsid w:val="00BF294F"/>
    <w:rsid w:val="00BF333D"/>
    <w:rsid w:val="00BF397E"/>
    <w:rsid w:val="00BF4730"/>
    <w:rsid w:val="00C10D99"/>
    <w:rsid w:val="00C24117"/>
    <w:rsid w:val="00C30470"/>
    <w:rsid w:val="00C3106C"/>
    <w:rsid w:val="00C42E1E"/>
    <w:rsid w:val="00C50C8A"/>
    <w:rsid w:val="00C60862"/>
    <w:rsid w:val="00C60FDF"/>
    <w:rsid w:val="00C619E3"/>
    <w:rsid w:val="00C71DC3"/>
    <w:rsid w:val="00C73402"/>
    <w:rsid w:val="00C73CC5"/>
    <w:rsid w:val="00C82457"/>
    <w:rsid w:val="00C8380D"/>
    <w:rsid w:val="00C87C94"/>
    <w:rsid w:val="00C909A7"/>
    <w:rsid w:val="00C974B9"/>
    <w:rsid w:val="00CB1D25"/>
    <w:rsid w:val="00CC1184"/>
    <w:rsid w:val="00CC38BD"/>
    <w:rsid w:val="00CC4349"/>
    <w:rsid w:val="00CC6FBD"/>
    <w:rsid w:val="00CD0427"/>
    <w:rsid w:val="00CD39FB"/>
    <w:rsid w:val="00CD6171"/>
    <w:rsid w:val="00CE46B1"/>
    <w:rsid w:val="00CE4C54"/>
    <w:rsid w:val="00CE5E21"/>
    <w:rsid w:val="00CF0921"/>
    <w:rsid w:val="00CF1953"/>
    <w:rsid w:val="00D03ADD"/>
    <w:rsid w:val="00D11BFF"/>
    <w:rsid w:val="00D21D96"/>
    <w:rsid w:val="00D4284C"/>
    <w:rsid w:val="00D429BE"/>
    <w:rsid w:val="00D455B0"/>
    <w:rsid w:val="00D46311"/>
    <w:rsid w:val="00D46A21"/>
    <w:rsid w:val="00D51EBB"/>
    <w:rsid w:val="00D5202A"/>
    <w:rsid w:val="00D628BF"/>
    <w:rsid w:val="00D70B05"/>
    <w:rsid w:val="00D760EA"/>
    <w:rsid w:val="00D94FE2"/>
    <w:rsid w:val="00D9631D"/>
    <w:rsid w:val="00DA12EE"/>
    <w:rsid w:val="00DA534F"/>
    <w:rsid w:val="00DA5A4B"/>
    <w:rsid w:val="00DA60FF"/>
    <w:rsid w:val="00DB0552"/>
    <w:rsid w:val="00DB4CAC"/>
    <w:rsid w:val="00DB7323"/>
    <w:rsid w:val="00DC0B2F"/>
    <w:rsid w:val="00DC6DF6"/>
    <w:rsid w:val="00DC7F17"/>
    <w:rsid w:val="00DE6F85"/>
    <w:rsid w:val="00DE765E"/>
    <w:rsid w:val="00DF27D0"/>
    <w:rsid w:val="00E06F5A"/>
    <w:rsid w:val="00E12159"/>
    <w:rsid w:val="00E21016"/>
    <w:rsid w:val="00E21B28"/>
    <w:rsid w:val="00E21C21"/>
    <w:rsid w:val="00E243BC"/>
    <w:rsid w:val="00E34275"/>
    <w:rsid w:val="00E353A6"/>
    <w:rsid w:val="00E35646"/>
    <w:rsid w:val="00E44339"/>
    <w:rsid w:val="00E460C7"/>
    <w:rsid w:val="00E61842"/>
    <w:rsid w:val="00E635DE"/>
    <w:rsid w:val="00E6531D"/>
    <w:rsid w:val="00E716C3"/>
    <w:rsid w:val="00E741F7"/>
    <w:rsid w:val="00EA06D7"/>
    <w:rsid w:val="00EA21C7"/>
    <w:rsid w:val="00EA223F"/>
    <w:rsid w:val="00EA5A66"/>
    <w:rsid w:val="00EB1481"/>
    <w:rsid w:val="00EB50BC"/>
    <w:rsid w:val="00EB79E8"/>
    <w:rsid w:val="00ED349C"/>
    <w:rsid w:val="00EE6296"/>
    <w:rsid w:val="00EF2379"/>
    <w:rsid w:val="00F02F98"/>
    <w:rsid w:val="00F139BC"/>
    <w:rsid w:val="00F23AE0"/>
    <w:rsid w:val="00F24668"/>
    <w:rsid w:val="00F24952"/>
    <w:rsid w:val="00F25BD2"/>
    <w:rsid w:val="00F31DB5"/>
    <w:rsid w:val="00F462DF"/>
    <w:rsid w:val="00F57F08"/>
    <w:rsid w:val="00F712A0"/>
    <w:rsid w:val="00F7689A"/>
    <w:rsid w:val="00F816BF"/>
    <w:rsid w:val="00F82AAC"/>
    <w:rsid w:val="00F83736"/>
    <w:rsid w:val="00F83B88"/>
    <w:rsid w:val="00F8412D"/>
    <w:rsid w:val="00F84593"/>
    <w:rsid w:val="00F91D87"/>
    <w:rsid w:val="00F92930"/>
    <w:rsid w:val="00FA5082"/>
    <w:rsid w:val="00FB25D7"/>
    <w:rsid w:val="00FC48AB"/>
    <w:rsid w:val="00FD6B7B"/>
    <w:rsid w:val="00FE1317"/>
    <w:rsid w:val="00FF00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5044"/>
  <w15:docId w15:val="{F8FBA971-AA1B-4502-8B6C-E8F4AE04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A44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autoRedefine/>
    <w:uiPriority w:val="9"/>
    <w:unhideWhenUsed/>
    <w:qFormat/>
    <w:rsid w:val="002B5984"/>
    <w:pPr>
      <w:keepNext/>
      <w:keepLines/>
      <w:numPr>
        <w:numId w:val="1"/>
      </w:numPr>
      <w:spacing w:before="200" w:after="0" w:line="240" w:lineRule="auto"/>
      <w:outlineLvl w:val="1"/>
    </w:pPr>
    <w:rPr>
      <w:rFonts w:ascii="Times New Roman" w:eastAsia="MS PGothic" w:hAnsi="Times New Roman" w:cstheme="majorBidi"/>
      <w:b/>
      <w:bCs/>
      <w:color w:val="000000" w:themeColor="text1"/>
      <w:sz w:val="26"/>
      <w:szCs w:val="26"/>
      <w:lang w:eastAsia="fi-FI"/>
    </w:rPr>
  </w:style>
  <w:style w:type="paragraph" w:styleId="Otsikko3">
    <w:name w:val="heading 3"/>
    <w:basedOn w:val="Normaali"/>
    <w:next w:val="Normaali"/>
    <w:link w:val="Otsikko3Char"/>
    <w:autoRedefine/>
    <w:uiPriority w:val="9"/>
    <w:unhideWhenUsed/>
    <w:qFormat/>
    <w:rsid w:val="00A44503"/>
    <w:pPr>
      <w:keepNext/>
      <w:keepLines/>
      <w:numPr>
        <w:ilvl w:val="1"/>
        <w:numId w:val="1"/>
      </w:numPr>
      <w:spacing w:before="200" w:after="0"/>
      <w:outlineLvl w:val="2"/>
    </w:pPr>
    <w:rPr>
      <w:rFonts w:ascii="Times New Roman" w:eastAsiaTheme="majorEastAsia" w:hAnsi="Times New Roman" w:cstheme="majorBidi"/>
      <w:b/>
      <w:bCs/>
      <w:color w:val="000000" w:themeColor="text1"/>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2B5984"/>
    <w:rPr>
      <w:rFonts w:ascii="Times New Roman" w:eastAsia="MS PGothic" w:hAnsi="Times New Roman" w:cstheme="majorBidi"/>
      <w:b/>
      <w:bCs/>
      <w:color w:val="000000" w:themeColor="text1"/>
      <w:sz w:val="26"/>
      <w:szCs w:val="26"/>
      <w:lang w:eastAsia="fi-FI"/>
    </w:rPr>
  </w:style>
  <w:style w:type="character" w:customStyle="1" w:styleId="Otsikko3Char">
    <w:name w:val="Otsikko 3 Char"/>
    <w:basedOn w:val="Kappaleenoletusfontti"/>
    <w:link w:val="Otsikko3"/>
    <w:uiPriority w:val="9"/>
    <w:rsid w:val="00A44503"/>
    <w:rPr>
      <w:rFonts w:ascii="Times New Roman" w:eastAsiaTheme="majorEastAsia" w:hAnsi="Times New Roman" w:cstheme="majorBidi"/>
      <w:b/>
      <w:bCs/>
      <w:color w:val="000000" w:themeColor="text1"/>
      <w:sz w:val="24"/>
      <w:szCs w:val="24"/>
      <w:lang w:eastAsia="fi-FI"/>
    </w:rPr>
  </w:style>
  <w:style w:type="paragraph" w:styleId="NormaaliWWW">
    <w:name w:val="Normal (Web)"/>
    <w:basedOn w:val="Normaali"/>
    <w:uiPriority w:val="99"/>
    <w:unhideWhenUsed/>
    <w:rsid w:val="00A44503"/>
    <w:pPr>
      <w:spacing w:before="100" w:beforeAutospacing="1" w:after="100" w:afterAutospacing="1" w:line="240" w:lineRule="auto"/>
    </w:pPr>
    <w:rPr>
      <w:rFonts w:ascii="Times New Roman" w:eastAsia="Times New Roman" w:hAnsi="Times New Roman" w:cs="Arial"/>
      <w:sz w:val="24"/>
      <w:szCs w:val="24"/>
      <w:lang w:eastAsia="fi-FI"/>
    </w:rPr>
  </w:style>
  <w:style w:type="character" w:styleId="Kommentinviite">
    <w:name w:val="annotation reference"/>
    <w:basedOn w:val="Kappaleenoletusfontti"/>
    <w:uiPriority w:val="99"/>
    <w:unhideWhenUsed/>
    <w:rsid w:val="00A44503"/>
    <w:rPr>
      <w:sz w:val="16"/>
      <w:szCs w:val="16"/>
    </w:rPr>
  </w:style>
  <w:style w:type="paragraph" w:styleId="Kommentinteksti">
    <w:name w:val="annotation text"/>
    <w:basedOn w:val="Normaali"/>
    <w:link w:val="KommentintekstiChar"/>
    <w:uiPriority w:val="99"/>
    <w:unhideWhenUsed/>
    <w:rsid w:val="00A44503"/>
    <w:pPr>
      <w:spacing w:after="0" w:line="240" w:lineRule="auto"/>
    </w:pPr>
    <w:rPr>
      <w:rFonts w:ascii="Times New Roman" w:eastAsia="Times New Roman" w:hAnsi="Times New Roman" w:cs="Arial"/>
      <w:sz w:val="20"/>
      <w:szCs w:val="20"/>
      <w:lang w:eastAsia="fi-FI"/>
    </w:rPr>
  </w:style>
  <w:style w:type="character" w:customStyle="1" w:styleId="KommentintekstiChar">
    <w:name w:val="Kommentin teksti Char"/>
    <w:basedOn w:val="Kappaleenoletusfontti"/>
    <w:link w:val="Kommentinteksti"/>
    <w:uiPriority w:val="99"/>
    <w:rsid w:val="00A44503"/>
    <w:rPr>
      <w:rFonts w:ascii="Times New Roman" w:eastAsia="Times New Roman" w:hAnsi="Times New Roman" w:cs="Arial"/>
      <w:sz w:val="20"/>
      <w:szCs w:val="20"/>
      <w:lang w:eastAsia="fi-FI"/>
    </w:rPr>
  </w:style>
  <w:style w:type="character" w:customStyle="1" w:styleId="Otsikko1Char">
    <w:name w:val="Otsikko 1 Char"/>
    <w:basedOn w:val="Kappaleenoletusfontti"/>
    <w:link w:val="Otsikko1"/>
    <w:uiPriority w:val="9"/>
    <w:rsid w:val="00A44503"/>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unhideWhenUsed/>
    <w:qFormat/>
    <w:rsid w:val="00A44503"/>
    <w:pPr>
      <w:keepNext w:val="0"/>
      <w:keepLines w:val="0"/>
      <w:spacing w:before="0"/>
      <w:outlineLvl w:val="9"/>
    </w:pPr>
    <w:rPr>
      <w:rFonts w:eastAsia="Times New Roman" w:cs="Arial"/>
      <w:b w:val="0"/>
      <w:bCs w:val="0"/>
      <w:szCs w:val="24"/>
      <w:lang w:eastAsia="fi-FI"/>
    </w:rPr>
  </w:style>
  <w:style w:type="character" w:styleId="Hyperlinkki">
    <w:name w:val="Hyperlink"/>
    <w:basedOn w:val="Kappaleenoletusfontti"/>
    <w:uiPriority w:val="99"/>
    <w:unhideWhenUsed/>
    <w:rsid w:val="00A44503"/>
    <w:rPr>
      <w:color w:val="0000FF" w:themeColor="hyperlink"/>
      <w:u w:val="single"/>
    </w:rPr>
  </w:style>
  <w:style w:type="paragraph" w:styleId="Yltunniste">
    <w:name w:val="header"/>
    <w:basedOn w:val="Normaali"/>
    <w:link w:val="YltunnisteChar"/>
    <w:uiPriority w:val="99"/>
    <w:unhideWhenUsed/>
    <w:rsid w:val="00A44503"/>
    <w:pPr>
      <w:tabs>
        <w:tab w:val="center" w:pos="4819"/>
        <w:tab w:val="right" w:pos="9638"/>
      </w:tabs>
      <w:spacing w:after="0" w:line="240" w:lineRule="auto"/>
    </w:pPr>
    <w:rPr>
      <w:rFonts w:ascii="Times New Roman" w:eastAsia="Times New Roman" w:hAnsi="Times New Roman" w:cs="Arial"/>
      <w:sz w:val="24"/>
      <w:szCs w:val="24"/>
      <w:lang w:eastAsia="fi-FI"/>
    </w:rPr>
  </w:style>
  <w:style w:type="character" w:customStyle="1" w:styleId="YltunnisteChar">
    <w:name w:val="Ylätunniste Char"/>
    <w:basedOn w:val="Kappaleenoletusfontti"/>
    <w:link w:val="Yltunniste"/>
    <w:uiPriority w:val="99"/>
    <w:rsid w:val="00A44503"/>
    <w:rPr>
      <w:rFonts w:ascii="Times New Roman" w:eastAsia="Times New Roman" w:hAnsi="Times New Roman" w:cs="Arial"/>
      <w:sz w:val="24"/>
      <w:szCs w:val="24"/>
      <w:lang w:eastAsia="fi-FI"/>
    </w:rPr>
  </w:style>
  <w:style w:type="paragraph" w:styleId="Sisluet2">
    <w:name w:val="toc 2"/>
    <w:basedOn w:val="Normaali"/>
    <w:next w:val="Normaali"/>
    <w:autoRedefine/>
    <w:uiPriority w:val="39"/>
    <w:unhideWhenUsed/>
    <w:qFormat/>
    <w:rsid w:val="00A44503"/>
    <w:pPr>
      <w:tabs>
        <w:tab w:val="left" w:pos="880"/>
        <w:tab w:val="right" w:leader="dot" w:pos="9628"/>
      </w:tabs>
      <w:spacing w:after="100" w:line="240" w:lineRule="auto"/>
    </w:pPr>
    <w:rPr>
      <w:rFonts w:ascii="Times New Roman" w:eastAsia="Times New Roman" w:hAnsi="Times New Roman" w:cs="Arial"/>
      <w:sz w:val="24"/>
      <w:szCs w:val="24"/>
      <w:lang w:eastAsia="fi-FI"/>
    </w:rPr>
  </w:style>
  <w:style w:type="paragraph" w:styleId="Alaviitteenteksti">
    <w:name w:val="footnote text"/>
    <w:basedOn w:val="Normaali"/>
    <w:link w:val="AlaviitteentekstiChar"/>
    <w:uiPriority w:val="99"/>
    <w:unhideWhenUsed/>
    <w:rsid w:val="00A44503"/>
    <w:pPr>
      <w:spacing w:after="0" w:line="240" w:lineRule="auto"/>
    </w:pPr>
    <w:rPr>
      <w:rFonts w:ascii="Times New Roman" w:eastAsia="Times New Roman" w:hAnsi="Times New Roman" w:cs="Times New Roman"/>
      <w:bCs/>
      <w:sz w:val="20"/>
      <w:szCs w:val="20"/>
      <w:lang w:eastAsia="fi-FI"/>
    </w:rPr>
  </w:style>
  <w:style w:type="character" w:customStyle="1" w:styleId="AlaviitteentekstiChar">
    <w:name w:val="Alaviitteen teksti Char"/>
    <w:basedOn w:val="Kappaleenoletusfontti"/>
    <w:link w:val="Alaviitteenteksti"/>
    <w:uiPriority w:val="99"/>
    <w:rsid w:val="00A44503"/>
    <w:rPr>
      <w:rFonts w:ascii="Times New Roman" w:eastAsia="Times New Roman" w:hAnsi="Times New Roman" w:cs="Times New Roman"/>
      <w:bCs/>
      <w:sz w:val="20"/>
      <w:szCs w:val="20"/>
      <w:lang w:eastAsia="fi-FI"/>
    </w:rPr>
  </w:style>
  <w:style w:type="character" w:styleId="Alaviitteenviite">
    <w:name w:val="footnote reference"/>
    <w:basedOn w:val="Kappaleenoletusfontti"/>
    <w:uiPriority w:val="99"/>
    <w:semiHidden/>
    <w:unhideWhenUsed/>
    <w:rsid w:val="00A44503"/>
    <w:rPr>
      <w:vertAlign w:val="superscript"/>
    </w:rPr>
  </w:style>
  <w:style w:type="character" w:styleId="Sivunumero">
    <w:name w:val="page number"/>
    <w:basedOn w:val="Kappaleenoletusfontti"/>
    <w:semiHidden/>
    <w:rsid w:val="00A44503"/>
  </w:style>
  <w:style w:type="paragraph" w:customStyle="1" w:styleId="STMnormaali">
    <w:name w:val="STM normaali"/>
    <w:rsid w:val="00A44503"/>
    <w:pPr>
      <w:spacing w:after="0" w:line="240" w:lineRule="auto"/>
    </w:pPr>
    <w:rPr>
      <w:rFonts w:ascii="Times New Roman" w:eastAsia="Times New Roman" w:hAnsi="Times New Roman" w:cs="Times New Roman"/>
      <w:szCs w:val="20"/>
    </w:rPr>
  </w:style>
  <w:style w:type="paragraph" w:styleId="Seliteteksti">
    <w:name w:val="Balloon Text"/>
    <w:basedOn w:val="Normaali"/>
    <w:link w:val="SelitetekstiChar"/>
    <w:uiPriority w:val="99"/>
    <w:semiHidden/>
    <w:unhideWhenUsed/>
    <w:rsid w:val="00A4450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44503"/>
    <w:rPr>
      <w:rFonts w:ascii="Tahoma" w:hAnsi="Tahoma" w:cs="Tahoma"/>
      <w:sz w:val="16"/>
      <w:szCs w:val="16"/>
    </w:rPr>
  </w:style>
  <w:style w:type="paragraph" w:styleId="Luettelokappale">
    <w:name w:val="List Paragraph"/>
    <w:basedOn w:val="Normaali"/>
    <w:uiPriority w:val="34"/>
    <w:qFormat/>
    <w:rsid w:val="00E35646"/>
    <w:pPr>
      <w:ind w:left="720"/>
      <w:contextualSpacing/>
    </w:pPr>
  </w:style>
  <w:style w:type="paragraph" w:styleId="Leipteksti">
    <w:name w:val="Body Text"/>
    <w:link w:val="LeiptekstiChar"/>
    <w:uiPriority w:val="99"/>
    <w:unhideWhenUsed/>
    <w:qFormat/>
    <w:rsid w:val="008D5FF6"/>
    <w:pPr>
      <w:spacing w:after="240" w:line="240" w:lineRule="auto"/>
      <w:ind w:right="2268"/>
      <w:jc w:val="both"/>
    </w:pPr>
    <w:rPr>
      <w:rFonts w:ascii="Arial" w:hAnsi="Arial" w:cs="Arial"/>
      <w:sz w:val="18"/>
    </w:rPr>
  </w:style>
  <w:style w:type="character" w:customStyle="1" w:styleId="LeiptekstiChar">
    <w:name w:val="Leipäteksti Char"/>
    <w:basedOn w:val="Kappaleenoletusfontti"/>
    <w:link w:val="Leipteksti"/>
    <w:uiPriority w:val="99"/>
    <w:rsid w:val="008D5FF6"/>
    <w:rPr>
      <w:rFonts w:ascii="Arial" w:hAnsi="Arial" w:cs="Arial"/>
      <w:sz w:val="18"/>
    </w:rPr>
  </w:style>
  <w:style w:type="paragraph" w:customStyle="1" w:styleId="LuetteloViiva">
    <w:name w:val="Luettelo_Viiva"/>
    <w:qFormat/>
    <w:rsid w:val="008D5FF6"/>
    <w:pPr>
      <w:numPr>
        <w:ilvl w:val="1"/>
        <w:numId w:val="3"/>
      </w:numPr>
      <w:spacing w:after="0" w:line="240" w:lineRule="auto"/>
      <w:ind w:left="681" w:right="2268" w:hanging="454"/>
      <w:jc w:val="both"/>
    </w:pPr>
    <w:rPr>
      <w:rFonts w:ascii="Arial" w:hAnsi="Arial" w:cs="Arial"/>
      <w:sz w:val="18"/>
    </w:rPr>
  </w:style>
  <w:style w:type="paragraph" w:styleId="Kommentinotsikko">
    <w:name w:val="annotation subject"/>
    <w:basedOn w:val="Kommentinteksti"/>
    <w:next w:val="Kommentinteksti"/>
    <w:link w:val="KommentinotsikkoChar"/>
    <w:uiPriority w:val="99"/>
    <w:semiHidden/>
    <w:unhideWhenUsed/>
    <w:rsid w:val="006C4453"/>
    <w:pPr>
      <w:spacing w:after="200"/>
    </w:pPr>
    <w:rPr>
      <w:rFonts w:asciiTheme="minorHAnsi" w:eastAsiaTheme="minorHAnsi" w:hAnsiTheme="minorHAnsi" w:cstheme="minorBidi"/>
      <w:b/>
      <w:bCs/>
      <w:lang w:eastAsia="en-US"/>
    </w:rPr>
  </w:style>
  <w:style w:type="character" w:customStyle="1" w:styleId="KommentinotsikkoChar">
    <w:name w:val="Kommentin otsikko Char"/>
    <w:basedOn w:val="KommentintekstiChar"/>
    <w:link w:val="Kommentinotsikko"/>
    <w:uiPriority w:val="99"/>
    <w:semiHidden/>
    <w:rsid w:val="006C4453"/>
    <w:rPr>
      <w:rFonts w:ascii="Times New Roman" w:eastAsia="Times New Roman" w:hAnsi="Times New Roman" w:cs="Arial"/>
      <w:b/>
      <w:bCs/>
      <w:sz w:val="20"/>
      <w:szCs w:val="20"/>
      <w:lang w:eastAsia="fi-FI"/>
    </w:rPr>
  </w:style>
  <w:style w:type="paragraph" w:customStyle="1" w:styleId="Otsikkopieni">
    <w:name w:val="Otsikko pieni"/>
    <w:qFormat/>
    <w:rsid w:val="00EB79E8"/>
    <w:pPr>
      <w:spacing w:after="240" w:line="240" w:lineRule="auto"/>
    </w:pPr>
    <w:rPr>
      <w:rFonts w:ascii="Arial" w:hAnsi="Arial" w:cs="Arial"/>
      <w:b/>
      <w:color w:val="2A5DA8"/>
      <w:sz w:val="18"/>
    </w:rPr>
  </w:style>
  <w:style w:type="paragraph" w:customStyle="1" w:styleId="Default">
    <w:name w:val="Default"/>
    <w:rsid w:val="00534E69"/>
    <w:pPr>
      <w:autoSpaceDE w:val="0"/>
      <w:autoSpaceDN w:val="0"/>
      <w:adjustRightInd w:val="0"/>
      <w:spacing w:after="0" w:line="240" w:lineRule="auto"/>
    </w:pPr>
    <w:rPr>
      <w:rFonts w:ascii="Times New Roman" w:hAnsi="Times New Roman" w:cs="Times New Roman"/>
      <w:color w:val="000000"/>
      <w:sz w:val="24"/>
      <w:szCs w:val="24"/>
    </w:rPr>
  </w:style>
  <w:style w:type="paragraph" w:styleId="Alatunniste">
    <w:name w:val="footer"/>
    <w:basedOn w:val="Normaali"/>
    <w:link w:val="AlatunnisteChar"/>
    <w:uiPriority w:val="99"/>
    <w:unhideWhenUsed/>
    <w:rsid w:val="004F460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F4606"/>
  </w:style>
  <w:style w:type="paragraph" w:styleId="Muutos">
    <w:name w:val="Revision"/>
    <w:hidden/>
    <w:uiPriority w:val="99"/>
    <w:semiHidden/>
    <w:rsid w:val="004F4606"/>
    <w:pPr>
      <w:spacing w:after="0" w:line="240" w:lineRule="auto"/>
    </w:pPr>
  </w:style>
  <w:style w:type="table" w:styleId="TaulukkoRuudukko">
    <w:name w:val="Table Grid"/>
    <w:basedOn w:val="Normaalitaulukko"/>
    <w:uiPriority w:val="59"/>
    <w:rsid w:val="006D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2E29E8"/>
    <w:rPr>
      <w:color w:val="800080" w:themeColor="followedHyperlink"/>
      <w:u w:val="single"/>
    </w:rPr>
  </w:style>
  <w:style w:type="paragraph" w:styleId="Vaintekstin">
    <w:name w:val="Plain Text"/>
    <w:basedOn w:val="Normaali"/>
    <w:link w:val="VaintekstinChar"/>
    <w:uiPriority w:val="99"/>
    <w:semiHidden/>
    <w:unhideWhenUsed/>
    <w:rsid w:val="00FF00D8"/>
    <w:pPr>
      <w:spacing w:after="0" w:line="240" w:lineRule="auto"/>
    </w:pPr>
    <w:rPr>
      <w:rFonts w:ascii="Calibri" w:hAnsi="Calibri" w:cstheme="minorHAnsi"/>
      <w:szCs w:val="21"/>
    </w:rPr>
  </w:style>
  <w:style w:type="character" w:customStyle="1" w:styleId="VaintekstinChar">
    <w:name w:val="Vain tekstinä Char"/>
    <w:basedOn w:val="Kappaleenoletusfontti"/>
    <w:link w:val="Vaintekstin"/>
    <w:uiPriority w:val="99"/>
    <w:semiHidden/>
    <w:rsid w:val="00FF00D8"/>
    <w:rPr>
      <w:rFonts w:ascii="Calibri" w:hAnsi="Calibri" w:cs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5400">
      <w:bodyDiv w:val="1"/>
      <w:marLeft w:val="0"/>
      <w:marRight w:val="0"/>
      <w:marTop w:val="0"/>
      <w:marBottom w:val="0"/>
      <w:divBdr>
        <w:top w:val="none" w:sz="0" w:space="0" w:color="auto"/>
        <w:left w:val="none" w:sz="0" w:space="0" w:color="auto"/>
        <w:bottom w:val="none" w:sz="0" w:space="0" w:color="auto"/>
        <w:right w:val="none" w:sz="0" w:space="0" w:color="auto"/>
      </w:divBdr>
    </w:div>
    <w:div w:id="780758627">
      <w:bodyDiv w:val="1"/>
      <w:marLeft w:val="0"/>
      <w:marRight w:val="0"/>
      <w:marTop w:val="0"/>
      <w:marBottom w:val="0"/>
      <w:divBdr>
        <w:top w:val="none" w:sz="0" w:space="0" w:color="auto"/>
        <w:left w:val="none" w:sz="0" w:space="0" w:color="auto"/>
        <w:bottom w:val="none" w:sz="0" w:space="0" w:color="auto"/>
        <w:right w:val="none" w:sz="0" w:space="0" w:color="auto"/>
      </w:divBdr>
      <w:divsChild>
        <w:div w:id="2114007415">
          <w:marLeft w:val="0"/>
          <w:marRight w:val="0"/>
          <w:marTop w:val="0"/>
          <w:marBottom w:val="0"/>
          <w:divBdr>
            <w:top w:val="none" w:sz="0" w:space="0" w:color="auto"/>
            <w:left w:val="none" w:sz="0" w:space="0" w:color="auto"/>
            <w:bottom w:val="none" w:sz="0" w:space="0" w:color="auto"/>
            <w:right w:val="none" w:sz="0" w:space="0" w:color="auto"/>
          </w:divBdr>
          <w:divsChild>
            <w:div w:id="446390235">
              <w:marLeft w:val="0"/>
              <w:marRight w:val="0"/>
              <w:marTop w:val="0"/>
              <w:marBottom w:val="0"/>
              <w:divBdr>
                <w:top w:val="none" w:sz="0" w:space="0" w:color="auto"/>
                <w:left w:val="none" w:sz="0" w:space="0" w:color="auto"/>
                <w:bottom w:val="none" w:sz="0" w:space="0" w:color="auto"/>
                <w:right w:val="none" w:sz="0" w:space="0" w:color="auto"/>
              </w:divBdr>
              <w:divsChild>
                <w:div w:id="18940121">
                  <w:marLeft w:val="0"/>
                  <w:marRight w:val="0"/>
                  <w:marTop w:val="0"/>
                  <w:marBottom w:val="0"/>
                  <w:divBdr>
                    <w:top w:val="none" w:sz="0" w:space="0" w:color="auto"/>
                    <w:left w:val="none" w:sz="0" w:space="0" w:color="auto"/>
                    <w:bottom w:val="none" w:sz="0" w:space="0" w:color="auto"/>
                    <w:right w:val="none" w:sz="0" w:space="0" w:color="auto"/>
                  </w:divBdr>
                  <w:divsChild>
                    <w:div w:id="1292709107">
                      <w:marLeft w:val="0"/>
                      <w:marRight w:val="0"/>
                      <w:marTop w:val="0"/>
                      <w:marBottom w:val="0"/>
                      <w:divBdr>
                        <w:top w:val="none" w:sz="0" w:space="0" w:color="auto"/>
                        <w:left w:val="none" w:sz="0" w:space="0" w:color="auto"/>
                        <w:bottom w:val="none" w:sz="0" w:space="0" w:color="auto"/>
                        <w:right w:val="none" w:sz="0" w:space="0" w:color="auto"/>
                      </w:divBdr>
                      <w:divsChild>
                        <w:div w:id="778915964">
                          <w:marLeft w:val="0"/>
                          <w:marRight w:val="0"/>
                          <w:marTop w:val="0"/>
                          <w:marBottom w:val="0"/>
                          <w:divBdr>
                            <w:top w:val="none" w:sz="0" w:space="0" w:color="auto"/>
                            <w:left w:val="none" w:sz="0" w:space="0" w:color="auto"/>
                            <w:bottom w:val="none" w:sz="0" w:space="0" w:color="auto"/>
                            <w:right w:val="none" w:sz="0" w:space="0" w:color="auto"/>
                          </w:divBdr>
                          <w:divsChild>
                            <w:div w:id="138282637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ta592" TargetMode="External"/><Relationship Id="rId18" Type="http://schemas.openxmlformats.org/officeDocument/2006/relationships/hyperlink" Target="https://medicinraadet.dk/igangvaerende-vurderinger/igangvaerende-vurderinger-af-nye-laegemidler-eller-indikationsudvidelser/cemiplimab-libtay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en/medicines/human/EPAR/libtayo" TargetMode="External"/><Relationship Id="rId17" Type="http://schemas.openxmlformats.org/officeDocument/2006/relationships/hyperlink" Target="https://nyemetoder.no/metoder/cemiplimab" TargetMode="External"/><Relationship Id="rId2" Type="http://schemas.openxmlformats.org/officeDocument/2006/relationships/customXml" Target="../customXml/item2.xml"/><Relationship Id="rId16" Type="http://schemas.openxmlformats.org/officeDocument/2006/relationships/hyperlink" Target="https://cadth.ca/cemiplimab-libtayo-cutaneous-squamous-cell-carcinoma-detai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cottishmedicines.org.uk/medicines-advice/cemiplimab-libtayo-full-smc221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TA59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mea.fi/kehittaminen/hoidollinen_ja_taloudellinen_arvo/arvioin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40752CB-8CE2-48DE-9788-9FFD8D1292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83D492-0037-4CA7-8FA9-C781F4D6A7E8}">
  <ds:schemaRefs>
    <ds:schemaRef ds:uri="http://schemas.microsoft.com/sharepoint/v3/contenttype/forms"/>
  </ds:schemaRefs>
</ds:datastoreItem>
</file>

<file path=customXml/itemProps3.xml><?xml version="1.0" encoding="utf-8"?>
<ds:datastoreItem xmlns:ds="http://schemas.openxmlformats.org/officeDocument/2006/customXml" ds:itemID="{18E9D66E-CE30-4F92-A1DC-B9803C7DE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52C80-A86F-4BFB-846D-BFFBA587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2304</Words>
  <Characters>18667</Characters>
  <Application>Microsoft Office Word</Application>
  <DocSecurity>0</DocSecurity>
  <Lines>155</Lines>
  <Paragraphs>41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Fimea</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Rannanheimo Piia</dc:creator>
  <cp:keywords/>
  <dc:description/>
  <cp:lastModifiedBy>Sihvo Anne (STM)</cp:lastModifiedBy>
  <cp:revision>4</cp:revision>
  <dcterms:created xsi:type="dcterms:W3CDTF">2019-10-30T10:49:00Z</dcterms:created>
  <dcterms:modified xsi:type="dcterms:W3CDTF">2019-10-30T10:56:00Z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