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B3278" w14:textId="7913F331" w:rsidR="00351D6B" w:rsidRPr="002A15A6" w:rsidRDefault="00AB7E2D" w:rsidP="00AB7E2D">
      <w:pPr>
        <w:rPr>
          <w:rFonts w:cstheme="minorHAnsi"/>
          <w:b/>
        </w:rPr>
      </w:pPr>
      <w:proofErr w:type="spellStart"/>
      <w:r w:rsidRPr="002A15A6">
        <w:rPr>
          <w:rFonts w:cstheme="minorHAnsi"/>
          <w:b/>
        </w:rPr>
        <w:t>Tisagenlekleuseeli</w:t>
      </w:r>
      <w:proofErr w:type="spellEnd"/>
      <w:r w:rsidRPr="002A15A6">
        <w:rPr>
          <w:rFonts w:cstheme="minorHAnsi"/>
          <w:b/>
        </w:rPr>
        <w:t xml:space="preserve"> </w:t>
      </w:r>
      <w:r w:rsidR="00950D3A" w:rsidRPr="002A15A6">
        <w:rPr>
          <w:rFonts w:cstheme="minorHAnsi"/>
          <w:b/>
        </w:rPr>
        <w:t>(</w:t>
      </w:r>
      <w:proofErr w:type="spellStart"/>
      <w:r w:rsidR="00950D3A" w:rsidRPr="002A15A6">
        <w:rPr>
          <w:rFonts w:cstheme="minorHAnsi"/>
          <w:b/>
        </w:rPr>
        <w:t>Kymriah</w:t>
      </w:r>
      <w:proofErr w:type="spellEnd"/>
      <w:r w:rsidR="002A15A6">
        <w:rPr>
          <w:rFonts w:cstheme="minorHAnsi"/>
          <w:b/>
        </w:rPr>
        <w:t>®</w:t>
      </w:r>
      <w:r w:rsidR="00950D3A" w:rsidRPr="002A15A6">
        <w:rPr>
          <w:rFonts w:cstheme="minorHAnsi"/>
          <w:b/>
        </w:rPr>
        <w:t xml:space="preserve">) </w:t>
      </w:r>
      <w:r w:rsidRPr="002A15A6">
        <w:rPr>
          <w:rFonts w:cstheme="minorHAnsi"/>
          <w:b/>
        </w:rPr>
        <w:t xml:space="preserve">B-solulinjan akuutin </w:t>
      </w:r>
      <w:proofErr w:type="spellStart"/>
      <w:r w:rsidRPr="002A15A6">
        <w:rPr>
          <w:rFonts w:cstheme="minorHAnsi"/>
          <w:b/>
        </w:rPr>
        <w:t>lymfoblastisen</w:t>
      </w:r>
      <w:proofErr w:type="spellEnd"/>
      <w:r w:rsidRPr="002A15A6">
        <w:rPr>
          <w:rFonts w:cstheme="minorHAnsi"/>
          <w:b/>
        </w:rPr>
        <w:t xml:space="preserve"> leukemian hoidossa</w:t>
      </w:r>
    </w:p>
    <w:p w14:paraId="3B4C63BD" w14:textId="6D4CB9C1" w:rsidR="006F247F" w:rsidRPr="002A15A6" w:rsidRDefault="00B701DA" w:rsidP="00C7333B">
      <w:pPr>
        <w:rPr>
          <w:rFonts w:cstheme="minorHAnsi"/>
          <w:b/>
        </w:rPr>
      </w:pPr>
      <w:r w:rsidRPr="002A15A6">
        <w:rPr>
          <w:rFonts w:cstheme="minorHAnsi"/>
          <w:b/>
        </w:rPr>
        <w:t xml:space="preserve">Hyväksytty Palkon kokouksessa </w:t>
      </w:r>
      <w:r w:rsidR="00D90932" w:rsidRPr="002A15A6">
        <w:rPr>
          <w:rFonts w:cstheme="minorHAnsi"/>
          <w:b/>
        </w:rPr>
        <w:t>xx</w:t>
      </w:r>
      <w:r w:rsidRPr="002A15A6">
        <w:rPr>
          <w:rFonts w:cstheme="minorHAnsi"/>
          <w:b/>
        </w:rPr>
        <w:t>.</w:t>
      </w:r>
      <w:r w:rsidR="00D90932" w:rsidRPr="002A15A6">
        <w:rPr>
          <w:rFonts w:cstheme="minorHAnsi"/>
          <w:b/>
        </w:rPr>
        <w:t>x</w:t>
      </w:r>
      <w:r w:rsidRPr="002A15A6">
        <w:rPr>
          <w:rFonts w:cstheme="minorHAnsi"/>
          <w:b/>
        </w:rPr>
        <w:t>.20</w:t>
      </w:r>
      <w:r w:rsidR="00BB53F7" w:rsidRPr="002A15A6">
        <w:rPr>
          <w:rFonts w:cstheme="minorHAnsi"/>
          <w:b/>
        </w:rPr>
        <w:t>xx</w:t>
      </w:r>
    </w:p>
    <w:tbl>
      <w:tblPr>
        <w:tblStyle w:val="TaulukkoRuudukko"/>
        <w:tblpPr w:leftFromText="141" w:rightFromText="141" w:vertAnchor="text" w:tblpX="113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7"/>
        <w:gridCol w:w="2088"/>
        <w:gridCol w:w="7229"/>
      </w:tblGrid>
      <w:tr w:rsidR="002A2173" w:rsidRPr="002A15A6" w14:paraId="44184DC3" w14:textId="77777777" w:rsidTr="00AB4325">
        <w:tc>
          <w:tcPr>
            <w:tcW w:w="2547" w:type="dxa"/>
            <w:gridSpan w:val="2"/>
          </w:tcPr>
          <w:p w14:paraId="7C9B1DE0" w14:textId="77777777" w:rsidR="002A2173" w:rsidRPr="002A15A6" w:rsidRDefault="002A2173" w:rsidP="00A11B24">
            <w:pPr>
              <w:rPr>
                <w:rFonts w:cstheme="minorHAnsi"/>
                <w:sz w:val="20"/>
                <w:szCs w:val="20"/>
              </w:rPr>
            </w:pPr>
            <w:r w:rsidRPr="002A15A6">
              <w:rPr>
                <w:rFonts w:cstheme="minorHAnsi"/>
                <w:sz w:val="20"/>
                <w:szCs w:val="20"/>
              </w:rPr>
              <w:t>P</w:t>
            </w:r>
            <w:r w:rsidR="004A0839" w:rsidRPr="002A15A6">
              <w:rPr>
                <w:rFonts w:cstheme="minorHAnsi"/>
                <w:sz w:val="20"/>
                <w:szCs w:val="20"/>
              </w:rPr>
              <w:t>alkon</w:t>
            </w:r>
            <w:r w:rsidR="00FE3B7E" w:rsidRPr="002A15A6">
              <w:rPr>
                <w:rFonts w:cstheme="minorHAnsi"/>
                <w:sz w:val="20"/>
                <w:szCs w:val="20"/>
              </w:rPr>
              <w:t xml:space="preserve"> s</w:t>
            </w:r>
            <w:r w:rsidRPr="002A15A6">
              <w:rPr>
                <w:rFonts w:cstheme="minorHAnsi"/>
                <w:sz w:val="20"/>
                <w:szCs w:val="20"/>
              </w:rPr>
              <w:t>uositus</w:t>
            </w:r>
          </w:p>
        </w:tc>
        <w:tc>
          <w:tcPr>
            <w:tcW w:w="7229" w:type="dxa"/>
          </w:tcPr>
          <w:p w14:paraId="62B7E6A6" w14:textId="7F19F4CA" w:rsidR="00A561F1" w:rsidRPr="002A15A6" w:rsidRDefault="00016E6D" w:rsidP="002415FE">
            <w:pPr>
              <w:rPr>
                <w:rFonts w:eastAsia="Times New Roman" w:cstheme="minorHAnsi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2A15A6">
              <w:rPr>
                <w:rFonts w:cstheme="minorHAnsi"/>
              </w:rPr>
              <w:t>Tisagenlekleuseeli</w:t>
            </w:r>
            <w:proofErr w:type="spellEnd"/>
            <w:r w:rsidRPr="002A15A6">
              <w:rPr>
                <w:rFonts w:cstheme="minorHAnsi"/>
              </w:rPr>
              <w:t xml:space="preserve"> kuuluu kansalliseen palveluvalikoimaan lapsipotilaiden ja korkeintaan 25 vuoden ikäisten nuorten aikuispotilaiden B-solulinjan akuutin </w:t>
            </w:r>
            <w:proofErr w:type="spellStart"/>
            <w:r w:rsidRPr="002A15A6">
              <w:rPr>
                <w:rFonts w:cstheme="minorHAnsi"/>
              </w:rPr>
              <w:t>lymfoblastisen</w:t>
            </w:r>
            <w:proofErr w:type="spellEnd"/>
            <w:r w:rsidRPr="002A15A6">
              <w:rPr>
                <w:rFonts w:cstheme="minorHAnsi"/>
              </w:rPr>
              <w:t xml:space="preserve"> leukemian (ALL) hoidossa, kun </w:t>
            </w:r>
            <w:r w:rsidR="00A561F1" w:rsidRPr="002A15A6">
              <w:rPr>
                <w:rFonts w:cstheme="minorHAnsi"/>
              </w:rPr>
              <w:t>sairaus ei ole reagoinut aiempaan hoitoon</w:t>
            </w:r>
            <w:r w:rsidR="002415FE">
              <w:rPr>
                <w:rFonts w:cstheme="minorHAnsi"/>
              </w:rPr>
              <w:t xml:space="preserve"> (hoitoresistentti)</w:t>
            </w:r>
            <w:r w:rsidR="00A561F1" w:rsidRPr="002A15A6">
              <w:rPr>
                <w:rFonts w:cstheme="minorHAnsi"/>
              </w:rPr>
              <w:t>, kun se on uusiutunut kaksi kertaa tai useammin taikka kun se on uusiutunut kantasolusiirron jälkeen.</w:t>
            </w:r>
            <w:r w:rsidRPr="002A15A6">
              <w:rPr>
                <w:rFonts w:cstheme="minorHAnsi"/>
              </w:rPr>
              <w:t xml:space="preserve"> </w:t>
            </w:r>
            <w:r w:rsidR="008E4175" w:rsidRPr="002907C4">
              <w:rPr>
                <w:rFonts w:cstheme="minorHAnsi"/>
              </w:rPr>
              <w:t>Suosituksen ehtona on</w:t>
            </w:r>
            <w:r w:rsidR="002A15A6" w:rsidRPr="002907C4">
              <w:rPr>
                <w:rFonts w:cstheme="minorHAnsi"/>
              </w:rPr>
              <w:t xml:space="preserve">, että </w:t>
            </w:r>
            <w:r w:rsidR="008E4175" w:rsidRPr="002907C4">
              <w:rPr>
                <w:rFonts w:cstheme="minorHAnsi"/>
              </w:rPr>
              <w:t>lääke</w:t>
            </w:r>
            <w:r w:rsidR="002A15A6" w:rsidRPr="002907C4">
              <w:rPr>
                <w:rFonts w:cstheme="minorHAnsi"/>
              </w:rPr>
              <w:t>yritys ja lääkkeen ostaja sopivat</w:t>
            </w:r>
            <w:r w:rsidR="008E4175" w:rsidRPr="002907C4">
              <w:rPr>
                <w:rFonts w:cstheme="minorHAnsi"/>
              </w:rPr>
              <w:t xml:space="preserve"> </w:t>
            </w:r>
            <w:r w:rsidR="002415FE" w:rsidRPr="002907C4">
              <w:rPr>
                <w:rFonts w:cstheme="minorHAnsi"/>
              </w:rPr>
              <w:t xml:space="preserve">lääkkeelle </w:t>
            </w:r>
            <w:r w:rsidR="008E4175" w:rsidRPr="002907C4">
              <w:rPr>
                <w:rFonts w:cstheme="minorHAnsi"/>
              </w:rPr>
              <w:t>hinnan</w:t>
            </w:r>
            <w:r w:rsidR="002415FE" w:rsidRPr="002907C4">
              <w:rPr>
                <w:rFonts w:cstheme="minorHAnsi"/>
              </w:rPr>
              <w:t>, joka on alempi kuin tukkuhinta</w:t>
            </w:r>
            <w:r w:rsidR="008E4175" w:rsidRPr="002907C4">
              <w:rPr>
                <w:rFonts w:cstheme="minorHAnsi"/>
              </w:rPr>
              <w:t>.</w:t>
            </w:r>
          </w:p>
        </w:tc>
      </w:tr>
      <w:tr w:rsidR="00B701DA" w:rsidRPr="002A15A6" w14:paraId="131D6F85" w14:textId="77777777" w:rsidTr="00AB4325">
        <w:tc>
          <w:tcPr>
            <w:tcW w:w="459" w:type="dxa"/>
            <w:vMerge w:val="restart"/>
            <w:textDirection w:val="btLr"/>
          </w:tcPr>
          <w:p w14:paraId="736C1B69" w14:textId="77777777" w:rsidR="00B701DA" w:rsidRPr="002A15A6" w:rsidRDefault="00B701DA" w:rsidP="00A11B24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2A15A6">
              <w:rPr>
                <w:rFonts w:cstheme="minorHAnsi"/>
                <w:sz w:val="20"/>
                <w:szCs w:val="20"/>
              </w:rPr>
              <w:t>Arvioinnin osa-alueet</w:t>
            </w:r>
          </w:p>
        </w:tc>
        <w:tc>
          <w:tcPr>
            <w:tcW w:w="2088" w:type="dxa"/>
          </w:tcPr>
          <w:p w14:paraId="156488BA" w14:textId="77777777" w:rsidR="00B701DA" w:rsidRPr="002A15A6" w:rsidRDefault="00B701DA" w:rsidP="00A11B24">
            <w:pPr>
              <w:rPr>
                <w:rFonts w:cstheme="minorHAnsi"/>
                <w:sz w:val="20"/>
                <w:szCs w:val="20"/>
              </w:rPr>
            </w:pPr>
            <w:r w:rsidRPr="002A15A6">
              <w:rPr>
                <w:rFonts w:cstheme="minorHAnsi"/>
                <w:sz w:val="20"/>
                <w:szCs w:val="20"/>
              </w:rPr>
              <w:t>Terveysongelman vakavuus ja yleisyys</w:t>
            </w:r>
          </w:p>
        </w:tc>
        <w:tc>
          <w:tcPr>
            <w:tcW w:w="7229" w:type="dxa"/>
          </w:tcPr>
          <w:p w14:paraId="60ED853D" w14:textId="2F4C3693" w:rsidR="00AB7E2D" w:rsidRPr="002A15A6" w:rsidRDefault="00016E6D" w:rsidP="002415FE">
            <w:pPr>
              <w:rPr>
                <w:rFonts w:eastAsia="MS PGothic" w:cstheme="minorHAnsi"/>
                <w:sz w:val="20"/>
                <w:szCs w:val="20"/>
              </w:rPr>
            </w:pPr>
            <w:r w:rsidRPr="002A15A6">
              <w:rPr>
                <w:rFonts w:cstheme="minorHAnsi"/>
              </w:rPr>
              <w:t xml:space="preserve">Lapsilla ja nuorilla aikuisilla </w:t>
            </w:r>
            <w:proofErr w:type="spellStart"/>
            <w:r w:rsidRPr="002A15A6">
              <w:rPr>
                <w:rFonts w:cstheme="minorHAnsi"/>
              </w:rPr>
              <w:t>ALL:n</w:t>
            </w:r>
            <w:proofErr w:type="spellEnd"/>
            <w:r w:rsidRPr="002A15A6">
              <w:rPr>
                <w:rFonts w:cstheme="minorHAnsi"/>
              </w:rPr>
              <w:t xml:space="preserve"> ennuste on hyvä. Nykyisillä hoidoilla potilaista noin 85 – 90 % paranee pysyvästi. Uusiutuneessa taudissa ennuste on huonompi ja hoitovaihtoehtoja vähemmän. Ennuste on erityisen huono, jos tauti on hoitoresistentti tai on uusiutunut kantasolusiirron tai vähintään kahden aikaisemman hoitojakson jälkeen.</w:t>
            </w:r>
            <w:r w:rsidR="00291CB0" w:rsidRPr="002A15A6">
              <w:rPr>
                <w:rFonts w:cstheme="minorHAnsi"/>
              </w:rPr>
              <w:t xml:space="preserve"> </w:t>
            </w:r>
            <w:proofErr w:type="spellStart"/>
            <w:r w:rsidR="00D65970" w:rsidRPr="002A15A6">
              <w:rPr>
                <w:rFonts w:cstheme="minorHAnsi"/>
              </w:rPr>
              <w:t>Fimean</w:t>
            </w:r>
            <w:proofErr w:type="spellEnd"/>
            <w:r w:rsidR="00D65970" w:rsidRPr="002A15A6">
              <w:rPr>
                <w:rFonts w:cstheme="minorHAnsi"/>
              </w:rPr>
              <w:t xml:space="preserve"> arvion mukaan tällaisia</w:t>
            </w:r>
            <w:r w:rsidR="002A15A6">
              <w:t xml:space="preserve"> </w:t>
            </w:r>
            <w:proofErr w:type="spellStart"/>
            <w:r w:rsidR="002A15A6">
              <w:rPr>
                <w:rFonts w:cstheme="minorHAnsi"/>
              </w:rPr>
              <w:t>t</w:t>
            </w:r>
            <w:r w:rsidR="002A15A6" w:rsidRPr="002A15A6">
              <w:rPr>
                <w:rFonts w:cstheme="minorHAnsi"/>
              </w:rPr>
              <w:t>isagenlekleuseeli</w:t>
            </w:r>
            <w:proofErr w:type="spellEnd"/>
            <w:r w:rsidR="002A15A6">
              <w:rPr>
                <w:rFonts w:cstheme="minorHAnsi"/>
              </w:rPr>
              <w:t xml:space="preserve">-hoitoa </w:t>
            </w:r>
            <w:r w:rsidR="002415FE">
              <w:rPr>
                <w:rFonts w:cstheme="minorHAnsi"/>
              </w:rPr>
              <w:t>soveltuvia</w:t>
            </w:r>
            <w:r w:rsidR="00D65970" w:rsidRPr="002A15A6">
              <w:rPr>
                <w:rFonts w:cstheme="minorHAnsi"/>
              </w:rPr>
              <w:t xml:space="preserve"> potilaita on Suomessa vuosittain 4 – 8. </w:t>
            </w:r>
          </w:p>
        </w:tc>
      </w:tr>
      <w:tr w:rsidR="00FC4960" w:rsidRPr="002A15A6" w14:paraId="6AD61C4D" w14:textId="77777777" w:rsidTr="00AB4325">
        <w:tc>
          <w:tcPr>
            <w:tcW w:w="459" w:type="dxa"/>
            <w:vMerge/>
            <w:textDirection w:val="btLr"/>
          </w:tcPr>
          <w:p w14:paraId="29586E21" w14:textId="77777777" w:rsidR="00FC4960" w:rsidRPr="002A15A6" w:rsidRDefault="00FC4960" w:rsidP="00A11B24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085B2C4" w14:textId="321E8A9E" w:rsidR="00FC4960" w:rsidRPr="002A15A6" w:rsidRDefault="00FC4960" w:rsidP="00A11B24">
            <w:pPr>
              <w:rPr>
                <w:rFonts w:cstheme="minorHAnsi"/>
                <w:sz w:val="20"/>
                <w:szCs w:val="20"/>
              </w:rPr>
            </w:pPr>
            <w:r w:rsidRPr="002A15A6">
              <w:rPr>
                <w:rFonts w:cstheme="minorHAnsi"/>
                <w:sz w:val="20"/>
                <w:szCs w:val="20"/>
              </w:rPr>
              <w:t>Hoitovaihtoehdot</w:t>
            </w:r>
          </w:p>
        </w:tc>
        <w:tc>
          <w:tcPr>
            <w:tcW w:w="7229" w:type="dxa"/>
          </w:tcPr>
          <w:p w14:paraId="6427EDAE" w14:textId="53CF80B9" w:rsidR="00AB7E2D" w:rsidRPr="002A15A6" w:rsidRDefault="00016E6D" w:rsidP="00AB7E2D">
            <w:pPr>
              <w:rPr>
                <w:rFonts w:cstheme="minorHAnsi"/>
                <w:lang w:eastAsia="fi-FI"/>
              </w:rPr>
            </w:pPr>
            <w:r w:rsidRPr="002A15A6">
              <w:rPr>
                <w:rFonts w:cstheme="minorHAnsi"/>
              </w:rPr>
              <w:t xml:space="preserve">Ainoa mahdollisesti parantava hoitovaihtoehto </w:t>
            </w:r>
            <w:proofErr w:type="spellStart"/>
            <w:r w:rsidRPr="002A15A6">
              <w:rPr>
                <w:rFonts w:cstheme="minorHAnsi"/>
              </w:rPr>
              <w:t>tisagenlekleuseeli</w:t>
            </w:r>
            <w:proofErr w:type="spellEnd"/>
            <w:r w:rsidR="00D6212A" w:rsidRPr="002A15A6">
              <w:rPr>
                <w:rFonts w:cstheme="minorHAnsi"/>
              </w:rPr>
              <w:t>-</w:t>
            </w:r>
            <w:r w:rsidRPr="002A15A6">
              <w:rPr>
                <w:rFonts w:cstheme="minorHAnsi"/>
              </w:rPr>
              <w:t>hoitoon</w:t>
            </w:r>
            <w:r w:rsidRPr="002A15A6">
              <w:rPr>
                <w:rStyle w:val="Kommentinviite"/>
                <w:rFonts w:cstheme="minorHAnsi"/>
              </w:rPr>
              <w:t xml:space="preserve"> </w:t>
            </w:r>
            <w:r w:rsidRPr="002A15A6">
              <w:rPr>
                <w:rFonts w:cstheme="minorHAnsi"/>
              </w:rPr>
              <w:t xml:space="preserve">soveltuville potilaille on </w:t>
            </w:r>
            <w:proofErr w:type="spellStart"/>
            <w:r w:rsidRPr="002A15A6">
              <w:rPr>
                <w:rFonts w:cstheme="minorHAnsi"/>
              </w:rPr>
              <w:t>allogeeninen</w:t>
            </w:r>
            <w:proofErr w:type="spellEnd"/>
            <w:r w:rsidRPr="002A15A6">
              <w:rPr>
                <w:rFonts w:cstheme="minorHAnsi"/>
              </w:rPr>
              <w:t xml:space="preserve"> kantasolusiirto. </w:t>
            </w:r>
            <w:r w:rsidR="00D6212A" w:rsidRPr="002A15A6">
              <w:rPr>
                <w:rFonts w:cstheme="minorHAnsi"/>
              </w:rPr>
              <w:t xml:space="preserve">Merkittävälle osalle potilaista kantasolusiirto ei kuitenkaan ole mahdollista. </w:t>
            </w:r>
            <w:r w:rsidRPr="002A15A6">
              <w:rPr>
                <w:rFonts w:cstheme="minorHAnsi"/>
              </w:rPr>
              <w:t>Aiemmin tehdyissä tutkimuksissa, joiss</w:t>
            </w:r>
            <w:r w:rsidR="003006A4" w:rsidRPr="002A15A6">
              <w:rPr>
                <w:rFonts w:cstheme="minorHAnsi"/>
              </w:rPr>
              <w:t>a</w:t>
            </w:r>
            <w:r w:rsidRPr="002A15A6">
              <w:rPr>
                <w:rFonts w:cstheme="minorHAnsi"/>
              </w:rPr>
              <w:t xml:space="preserve"> hoitoresistentin tai uusiutuneen </w:t>
            </w:r>
            <w:proofErr w:type="spellStart"/>
            <w:r w:rsidRPr="002A15A6">
              <w:rPr>
                <w:rFonts w:cstheme="minorHAnsi"/>
              </w:rPr>
              <w:t>ALL:n</w:t>
            </w:r>
            <w:proofErr w:type="spellEnd"/>
            <w:r w:rsidRPr="002A15A6">
              <w:rPr>
                <w:rFonts w:cstheme="minorHAnsi"/>
              </w:rPr>
              <w:t xml:space="preserve"> hoidossa on käytetty erilaisia hoitovaihtoehtoja, potilaista puolet on menehtynyt 3–11 kuukauden kuluessa tutkimukseen mukaan tulosta tai hoidon aloituksesta.</w:t>
            </w:r>
          </w:p>
        </w:tc>
      </w:tr>
      <w:tr w:rsidR="00B701DA" w:rsidRPr="002A15A6" w14:paraId="22BACBB7" w14:textId="77777777" w:rsidTr="00AB4325">
        <w:tc>
          <w:tcPr>
            <w:tcW w:w="459" w:type="dxa"/>
            <w:vMerge/>
          </w:tcPr>
          <w:p w14:paraId="6B4C0C8B" w14:textId="77777777" w:rsidR="00B701DA" w:rsidRPr="002A15A6" w:rsidRDefault="00B701DA" w:rsidP="00A11B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0C8C8EEB" w14:textId="77777777" w:rsidR="00016E6D" w:rsidRPr="002415FE" w:rsidRDefault="00016E6D" w:rsidP="00016E6D">
            <w:pPr>
              <w:rPr>
                <w:rFonts w:cstheme="minorHAnsi"/>
              </w:rPr>
            </w:pPr>
            <w:r w:rsidRPr="002415FE">
              <w:rPr>
                <w:rFonts w:cstheme="minorHAnsi"/>
              </w:rPr>
              <w:t>Vaikuttavuus</w:t>
            </w:r>
          </w:p>
          <w:p w14:paraId="5F8A186C" w14:textId="28E5A235" w:rsidR="00B701DA" w:rsidRPr="002A15A6" w:rsidRDefault="00B701DA" w:rsidP="00A11B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29" w:type="dxa"/>
          </w:tcPr>
          <w:p w14:paraId="4FD7BEAD" w14:textId="4B5A734C" w:rsidR="00AB7E2D" w:rsidRPr="002A15A6" w:rsidRDefault="002415FE" w:rsidP="002907C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E0E0E"/>
              </w:rPr>
              <w:t>T</w:t>
            </w:r>
            <w:r w:rsidR="007A470C" w:rsidRPr="002A15A6">
              <w:rPr>
                <w:rFonts w:cstheme="minorHAnsi"/>
                <w:color w:val="0E0E0E"/>
              </w:rPr>
              <w:t>isagenlekleuseeli</w:t>
            </w:r>
            <w:proofErr w:type="spellEnd"/>
            <w:r w:rsidR="007A470C" w:rsidRPr="002A15A6">
              <w:rPr>
                <w:rFonts w:cstheme="minorHAnsi"/>
                <w:color w:val="0E0E0E"/>
              </w:rPr>
              <w:t xml:space="preserve">-hoidon tulokset ovat </w:t>
            </w:r>
            <w:r>
              <w:rPr>
                <w:rFonts w:cstheme="minorHAnsi"/>
                <w:color w:val="0E0E0E"/>
              </w:rPr>
              <w:t>t</w:t>
            </w:r>
            <w:r w:rsidRPr="002A15A6">
              <w:rPr>
                <w:rFonts w:cstheme="minorHAnsi"/>
                <w:color w:val="0E0E0E"/>
              </w:rPr>
              <w:t xml:space="preserve">utkimusnäytön perusteella </w:t>
            </w:r>
            <w:r w:rsidR="007A470C" w:rsidRPr="002A15A6">
              <w:rPr>
                <w:rFonts w:cstheme="minorHAnsi"/>
                <w:color w:val="0E0E0E"/>
              </w:rPr>
              <w:t>parempia kuin mitä on raportoitu muilla hoitoresistentin tai uusi</w:t>
            </w:r>
            <w:r w:rsidR="003006A4" w:rsidRPr="002A15A6">
              <w:rPr>
                <w:rFonts w:cstheme="minorHAnsi"/>
                <w:color w:val="0E0E0E"/>
              </w:rPr>
              <w:t>u</w:t>
            </w:r>
            <w:r w:rsidR="007A470C" w:rsidRPr="002A15A6">
              <w:rPr>
                <w:rFonts w:cstheme="minorHAnsi"/>
                <w:color w:val="0E0E0E"/>
              </w:rPr>
              <w:t xml:space="preserve">tuneen </w:t>
            </w:r>
            <w:proofErr w:type="spellStart"/>
            <w:r w:rsidR="007A470C" w:rsidRPr="002A15A6">
              <w:rPr>
                <w:rFonts w:cstheme="minorHAnsi"/>
                <w:color w:val="0E0E0E"/>
              </w:rPr>
              <w:t>ALL:n</w:t>
            </w:r>
            <w:proofErr w:type="spellEnd"/>
            <w:r w:rsidR="007A470C" w:rsidRPr="002A15A6">
              <w:rPr>
                <w:rFonts w:cstheme="minorHAnsi"/>
                <w:color w:val="0E0E0E"/>
              </w:rPr>
              <w:t xml:space="preserve"> hoitovaihtoehdoilla.</w:t>
            </w:r>
            <w:r w:rsidR="007A470C" w:rsidRPr="002A15A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Julkaistujen tietojen mukaan</w:t>
            </w:r>
            <w:r w:rsidR="00DA5147" w:rsidRPr="002A15A6">
              <w:rPr>
                <w:rFonts w:cstheme="minorHAnsi"/>
              </w:rPr>
              <w:t xml:space="preserve"> n</w:t>
            </w:r>
            <w:r w:rsidR="00A80B19" w:rsidRPr="002A15A6">
              <w:rPr>
                <w:rFonts w:cstheme="minorHAnsi"/>
              </w:rPr>
              <w:t xml:space="preserve">oin neljä viidesosaa potilaista sai täydellisen tai osittaisen hoitovasteen. </w:t>
            </w:r>
            <w:r w:rsidR="007A470C" w:rsidRPr="002A15A6">
              <w:rPr>
                <w:rFonts w:cstheme="minorHAnsi"/>
                <w:color w:val="0E0E0E"/>
              </w:rPr>
              <w:t>Kliinisen näyttöön liittyy kuitenkin merkittäviä rajoituksia, kuten</w:t>
            </w:r>
            <w:r w:rsidR="003006A4" w:rsidRPr="002A15A6">
              <w:rPr>
                <w:rFonts w:cstheme="minorHAnsi"/>
                <w:color w:val="0E0E0E"/>
              </w:rPr>
              <w:t xml:space="preserve"> </w:t>
            </w:r>
            <w:r w:rsidR="007A470C" w:rsidRPr="002A15A6">
              <w:rPr>
                <w:rFonts w:cstheme="minorHAnsi"/>
                <w:color w:val="0E0E0E"/>
              </w:rPr>
              <w:t>yksihaarainen tutkimusasetelma ilman vertailuryhmää</w:t>
            </w:r>
            <w:bookmarkStart w:id="0" w:name="_GoBack"/>
            <w:bookmarkEnd w:id="0"/>
            <w:r w:rsidR="007A470C" w:rsidRPr="002A15A6">
              <w:rPr>
                <w:rFonts w:cstheme="minorHAnsi"/>
                <w:color w:val="0E0E0E"/>
              </w:rPr>
              <w:t xml:space="preserve"> ja lyhyt seuranta-aika. Sen takia </w:t>
            </w:r>
            <w:proofErr w:type="spellStart"/>
            <w:r w:rsidR="007A470C" w:rsidRPr="002A15A6">
              <w:rPr>
                <w:rFonts w:cstheme="minorHAnsi"/>
                <w:color w:val="0E0E0E"/>
              </w:rPr>
              <w:t>tisagenlekleuseeli</w:t>
            </w:r>
            <w:proofErr w:type="spellEnd"/>
            <w:r w:rsidR="007A470C" w:rsidRPr="002A15A6">
              <w:rPr>
                <w:rFonts w:cstheme="minorHAnsi"/>
                <w:color w:val="0E0E0E"/>
              </w:rPr>
              <w:t>-hoidon pitkäaikaisvaikutuksista ja hoidettujen potilaiden ennusteesta</w:t>
            </w:r>
            <w:r w:rsidR="002907C4">
              <w:rPr>
                <w:rFonts w:cstheme="minorHAnsi"/>
                <w:color w:val="0E0E0E"/>
              </w:rPr>
              <w:t xml:space="preserve"> </w:t>
            </w:r>
            <w:r w:rsidR="007A470C" w:rsidRPr="002A15A6">
              <w:rPr>
                <w:rFonts w:cstheme="minorHAnsi"/>
                <w:color w:val="0E0E0E"/>
              </w:rPr>
              <w:t>ei ole näyttöä.</w:t>
            </w:r>
          </w:p>
        </w:tc>
      </w:tr>
      <w:tr w:rsidR="00B701DA" w:rsidRPr="002A15A6" w14:paraId="3B054A97" w14:textId="77777777" w:rsidTr="00AB4325">
        <w:tc>
          <w:tcPr>
            <w:tcW w:w="459" w:type="dxa"/>
            <w:vMerge/>
          </w:tcPr>
          <w:p w14:paraId="7325EF4A" w14:textId="77777777" w:rsidR="00B701DA" w:rsidRPr="002A15A6" w:rsidRDefault="00B701DA" w:rsidP="00A11B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1159D27C" w14:textId="77777777" w:rsidR="00B701DA" w:rsidRPr="002A15A6" w:rsidRDefault="00B701DA" w:rsidP="00A11B24">
            <w:pPr>
              <w:rPr>
                <w:rFonts w:cstheme="minorHAnsi"/>
                <w:sz w:val="20"/>
                <w:szCs w:val="20"/>
              </w:rPr>
            </w:pPr>
            <w:r w:rsidRPr="002A15A6">
              <w:rPr>
                <w:rFonts w:cstheme="minorHAnsi"/>
                <w:sz w:val="20"/>
                <w:szCs w:val="20"/>
              </w:rPr>
              <w:t>Turvallisuus</w:t>
            </w:r>
          </w:p>
        </w:tc>
        <w:tc>
          <w:tcPr>
            <w:tcW w:w="7229" w:type="dxa"/>
          </w:tcPr>
          <w:p w14:paraId="3DECA867" w14:textId="757F74B5" w:rsidR="00A561F1" w:rsidRPr="002A15A6" w:rsidRDefault="00016E6D" w:rsidP="00950D3A">
            <w:pPr>
              <w:rPr>
                <w:rFonts w:eastAsia="MS PGothic" w:cstheme="minorHAnsi"/>
                <w:sz w:val="20"/>
                <w:szCs w:val="20"/>
                <w:lang w:eastAsia="fi-FI"/>
              </w:rPr>
            </w:pPr>
            <w:proofErr w:type="spellStart"/>
            <w:r w:rsidRPr="002A15A6">
              <w:rPr>
                <w:rFonts w:cstheme="minorHAnsi"/>
              </w:rPr>
              <w:t>Tisagenlekleuseeli</w:t>
            </w:r>
            <w:proofErr w:type="spellEnd"/>
            <w:r w:rsidR="00D6212A" w:rsidRPr="002A15A6">
              <w:rPr>
                <w:rFonts w:cstheme="minorHAnsi"/>
              </w:rPr>
              <w:t>-</w:t>
            </w:r>
            <w:r w:rsidRPr="002A15A6">
              <w:rPr>
                <w:rFonts w:cstheme="minorHAnsi"/>
              </w:rPr>
              <w:t>hoidosta seuraa vakavia haittoja useimmille potilaille. Osa haitoista on hengenvaarallisia</w:t>
            </w:r>
            <w:r w:rsidR="00060306" w:rsidRPr="002A15A6">
              <w:rPr>
                <w:rFonts w:cstheme="minorHAnsi"/>
              </w:rPr>
              <w:t xml:space="preserve"> ja hoidon vaikutukset voivat myös johtaa pysyvään haittaan.</w:t>
            </w:r>
          </w:p>
        </w:tc>
      </w:tr>
      <w:tr w:rsidR="00B701DA" w:rsidRPr="002A15A6" w14:paraId="1EB253BE" w14:textId="77777777" w:rsidTr="00AB4325">
        <w:tc>
          <w:tcPr>
            <w:tcW w:w="459" w:type="dxa"/>
            <w:vMerge/>
          </w:tcPr>
          <w:p w14:paraId="550B4E28" w14:textId="77777777" w:rsidR="00B701DA" w:rsidRPr="002A15A6" w:rsidRDefault="00B701DA" w:rsidP="00A11B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743A2A85" w14:textId="77777777" w:rsidR="00016E6D" w:rsidRPr="002415FE" w:rsidRDefault="00016E6D" w:rsidP="00016E6D">
            <w:pPr>
              <w:rPr>
                <w:rFonts w:cstheme="minorHAnsi"/>
              </w:rPr>
            </w:pPr>
            <w:r w:rsidRPr="002415FE">
              <w:rPr>
                <w:rFonts w:cstheme="minorHAnsi"/>
              </w:rPr>
              <w:t>Kustannukset ja budjettivaikutukset</w:t>
            </w:r>
          </w:p>
          <w:p w14:paraId="2DC2436D" w14:textId="27144701" w:rsidR="00016E6D" w:rsidRPr="002A15A6" w:rsidRDefault="00016E6D" w:rsidP="00A11B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29" w:type="dxa"/>
          </w:tcPr>
          <w:p w14:paraId="10A17FD9" w14:textId="065E3A72" w:rsidR="00A561F1" w:rsidRPr="002A15A6" w:rsidRDefault="00016E6D" w:rsidP="00C77B40">
            <w:pPr>
              <w:rPr>
                <w:rFonts w:cstheme="minorHAnsi"/>
                <w:lang w:eastAsia="fi-FI"/>
              </w:rPr>
            </w:pPr>
            <w:proofErr w:type="spellStart"/>
            <w:r w:rsidRPr="002A15A6">
              <w:rPr>
                <w:rFonts w:cstheme="minorHAnsi"/>
              </w:rPr>
              <w:t>Kymriah</w:t>
            </w:r>
            <w:proofErr w:type="spellEnd"/>
            <w:r w:rsidRPr="002A15A6">
              <w:rPr>
                <w:rFonts w:cstheme="minorHAnsi"/>
              </w:rPr>
              <w:t xml:space="preserve">-valmisteen tukkumyyntihinta on 320 000 €. Lääkkeen hinnan lisäksi yhden potilaan hoitoon liittyy noin 130 000 € muita kustannuksia ensimmäisen hoitovuoden aikana. </w:t>
            </w:r>
            <w:r w:rsidR="00B43F63" w:rsidRPr="002A15A6">
              <w:rPr>
                <w:rFonts w:cstheme="minorHAnsi"/>
              </w:rPr>
              <w:t>Mikäli</w:t>
            </w:r>
            <w:r w:rsidR="0048467A" w:rsidRPr="002A15A6">
              <w:rPr>
                <w:rFonts w:cstheme="minorHAnsi"/>
              </w:rPr>
              <w:t xml:space="preserve"> 4 - 8</w:t>
            </w:r>
            <w:r w:rsidR="00B43F63" w:rsidRPr="002A15A6">
              <w:rPr>
                <w:rFonts w:cstheme="minorHAnsi"/>
              </w:rPr>
              <w:t xml:space="preserve"> potilasta sa</w:t>
            </w:r>
            <w:r w:rsidR="0048467A" w:rsidRPr="002A15A6">
              <w:rPr>
                <w:rFonts w:cstheme="minorHAnsi"/>
              </w:rPr>
              <w:t>a</w:t>
            </w:r>
            <w:r w:rsidR="00B43F63" w:rsidRPr="002A15A6">
              <w:rPr>
                <w:rFonts w:cstheme="minorHAnsi"/>
              </w:rPr>
              <w:t xml:space="preserve"> hoidon, </w:t>
            </w:r>
            <w:r w:rsidR="0048467A" w:rsidRPr="002A15A6">
              <w:rPr>
                <w:rFonts w:cstheme="minorHAnsi"/>
              </w:rPr>
              <w:t xml:space="preserve">vuosittaiset </w:t>
            </w:r>
            <w:r w:rsidR="00B43F63" w:rsidRPr="002A15A6">
              <w:rPr>
                <w:rFonts w:cstheme="minorHAnsi"/>
              </w:rPr>
              <w:t>kustannukset o</w:t>
            </w:r>
            <w:r w:rsidR="0048467A" w:rsidRPr="002A15A6">
              <w:rPr>
                <w:rFonts w:cstheme="minorHAnsi"/>
              </w:rPr>
              <w:t>vat</w:t>
            </w:r>
            <w:r w:rsidR="00B43F63" w:rsidRPr="002A15A6">
              <w:rPr>
                <w:rFonts w:cstheme="minorHAnsi"/>
              </w:rPr>
              <w:t xml:space="preserve"> </w:t>
            </w:r>
            <w:r w:rsidR="0048467A" w:rsidRPr="002A15A6">
              <w:rPr>
                <w:rFonts w:cstheme="minorHAnsi"/>
              </w:rPr>
              <w:t>1,8 – 3,6</w:t>
            </w:r>
            <w:r w:rsidR="00B43F63" w:rsidRPr="002A15A6">
              <w:rPr>
                <w:rFonts w:cstheme="minorHAnsi"/>
              </w:rPr>
              <w:t xml:space="preserve"> miljoonaa euroa. </w:t>
            </w:r>
            <w:r w:rsidR="0048467A" w:rsidRPr="002A15A6">
              <w:rPr>
                <w:rFonts w:cstheme="minorHAnsi"/>
              </w:rPr>
              <w:t xml:space="preserve">Vaihtoehtoinen hoito huomioiden </w:t>
            </w:r>
            <w:proofErr w:type="spellStart"/>
            <w:r w:rsidR="0007482C" w:rsidRPr="002A15A6">
              <w:rPr>
                <w:rFonts w:cstheme="minorHAnsi"/>
              </w:rPr>
              <w:t>tisagenlekleuseeli</w:t>
            </w:r>
            <w:proofErr w:type="spellEnd"/>
            <w:r w:rsidR="0048467A" w:rsidRPr="002A15A6">
              <w:rPr>
                <w:rFonts w:cstheme="minorHAnsi"/>
              </w:rPr>
              <w:t>-hoi</w:t>
            </w:r>
            <w:r w:rsidR="00A51903" w:rsidRPr="002A15A6">
              <w:rPr>
                <w:rFonts w:cstheme="minorHAnsi"/>
              </w:rPr>
              <w:t>don lisäkustannukset (budjettivaikutus) o</w:t>
            </w:r>
            <w:r w:rsidR="00C77B40">
              <w:rPr>
                <w:rFonts w:cstheme="minorHAnsi"/>
              </w:rPr>
              <w:t>vat</w:t>
            </w:r>
            <w:r w:rsidR="00A51903" w:rsidRPr="002A15A6">
              <w:rPr>
                <w:rFonts w:cstheme="minorHAnsi"/>
              </w:rPr>
              <w:t xml:space="preserve"> noin 1,0 – 2,1 miljoonaa euroa.</w:t>
            </w:r>
            <w:r w:rsidR="0048467A" w:rsidRPr="002A15A6">
              <w:rPr>
                <w:rFonts w:cstheme="minorHAnsi"/>
              </w:rPr>
              <w:t xml:space="preserve"> </w:t>
            </w:r>
          </w:p>
        </w:tc>
      </w:tr>
      <w:tr w:rsidR="00B701DA" w:rsidRPr="002A15A6" w14:paraId="4E98AAED" w14:textId="77777777" w:rsidTr="00AB4325">
        <w:tc>
          <w:tcPr>
            <w:tcW w:w="459" w:type="dxa"/>
            <w:vMerge/>
          </w:tcPr>
          <w:p w14:paraId="3A43646F" w14:textId="77777777" w:rsidR="00B701DA" w:rsidRPr="002A15A6" w:rsidRDefault="00B701DA" w:rsidP="00A11B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642213E0" w14:textId="77777777" w:rsidR="00016E6D" w:rsidRPr="002415FE" w:rsidRDefault="00016E6D" w:rsidP="00016E6D">
            <w:pPr>
              <w:rPr>
                <w:rFonts w:cstheme="minorHAnsi"/>
              </w:rPr>
            </w:pPr>
            <w:r w:rsidRPr="002415FE">
              <w:rPr>
                <w:rFonts w:cstheme="minorHAnsi"/>
              </w:rPr>
              <w:t>Eettisyys ja taloudellisuus kokonaisuutena</w:t>
            </w:r>
          </w:p>
          <w:p w14:paraId="4670C9F2" w14:textId="56D5D390" w:rsidR="00B701DA" w:rsidRPr="002A15A6" w:rsidRDefault="00B701DA" w:rsidP="00A11B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29" w:type="dxa"/>
          </w:tcPr>
          <w:p w14:paraId="700017A9" w14:textId="7CC2A437" w:rsidR="00B701DA" w:rsidRPr="002A15A6" w:rsidDel="009218DA" w:rsidRDefault="00016E6D" w:rsidP="00950D3A">
            <w:pPr>
              <w:spacing w:line="280" w:lineRule="exact"/>
              <w:rPr>
                <w:rFonts w:cstheme="minorHAnsi"/>
                <w:highlight w:val="yellow"/>
              </w:rPr>
            </w:pPr>
            <w:proofErr w:type="spellStart"/>
            <w:r w:rsidRPr="002A15A6">
              <w:rPr>
                <w:rFonts w:cstheme="minorHAnsi"/>
              </w:rPr>
              <w:t>Tisagenlekleuseeli</w:t>
            </w:r>
            <w:proofErr w:type="spellEnd"/>
            <w:r w:rsidR="008E4175" w:rsidRPr="002A15A6">
              <w:rPr>
                <w:rFonts w:cstheme="minorHAnsi"/>
              </w:rPr>
              <w:t>-</w:t>
            </w:r>
            <w:r w:rsidRPr="002A15A6">
              <w:rPr>
                <w:rFonts w:cstheme="minorHAnsi"/>
              </w:rPr>
              <w:t xml:space="preserve">hoito on erittäin kallista. Hoidon kliinisiin vaikutuksiin ja kustannusvaikuttavuuteen liittyy merkittävää epävarmuutta. Hoidon käyttöönotto voisi olla perusteltua alennetulla hinnalla </w:t>
            </w:r>
            <w:r w:rsidR="00893A46" w:rsidRPr="002A15A6">
              <w:rPr>
                <w:rFonts w:cstheme="minorHAnsi"/>
              </w:rPr>
              <w:t>esim</w:t>
            </w:r>
            <w:r w:rsidR="00A561F1" w:rsidRPr="002A15A6">
              <w:rPr>
                <w:rFonts w:cstheme="minorHAnsi"/>
              </w:rPr>
              <w:t>erkiksi</w:t>
            </w:r>
            <w:r w:rsidRPr="002A15A6">
              <w:rPr>
                <w:rFonts w:cstheme="minorHAnsi"/>
              </w:rPr>
              <w:t xml:space="preserve"> hallitun käyttöönoton sopimuksen puitteissa. Eettiset näkökohdat puoltavat hoidon sisällyttämistä palveluvalikoimaan.</w:t>
            </w:r>
          </w:p>
        </w:tc>
      </w:tr>
      <w:tr w:rsidR="006F247F" w:rsidRPr="002A15A6" w14:paraId="769CA66E" w14:textId="77777777" w:rsidTr="00AB4325">
        <w:tc>
          <w:tcPr>
            <w:tcW w:w="2547" w:type="dxa"/>
            <w:gridSpan w:val="2"/>
          </w:tcPr>
          <w:p w14:paraId="51E21BBD" w14:textId="77777777" w:rsidR="006F247F" w:rsidRPr="00A45620" w:rsidRDefault="006F247F" w:rsidP="00A11B24">
            <w:pPr>
              <w:rPr>
                <w:rFonts w:cstheme="minorHAnsi"/>
                <w:highlight w:val="yellow"/>
              </w:rPr>
            </w:pPr>
            <w:r w:rsidRPr="00A45620">
              <w:rPr>
                <w:rFonts w:cstheme="minorHAnsi"/>
              </w:rPr>
              <w:t>Lisänäytön kerääminen</w:t>
            </w:r>
          </w:p>
        </w:tc>
        <w:tc>
          <w:tcPr>
            <w:tcW w:w="7229" w:type="dxa"/>
          </w:tcPr>
          <w:p w14:paraId="6A4F1319" w14:textId="58C28BBB" w:rsidR="00A561F1" w:rsidRPr="002A15A6" w:rsidRDefault="00060306" w:rsidP="00950D3A">
            <w:pPr>
              <w:rPr>
                <w:rFonts w:cstheme="minorHAnsi"/>
              </w:rPr>
            </w:pPr>
            <w:r w:rsidRPr="002A15A6">
              <w:rPr>
                <w:rFonts w:eastAsia="MS PGothic" w:cstheme="minorHAnsi"/>
                <w:lang w:eastAsia="fi-FI"/>
              </w:rPr>
              <w:t>H</w:t>
            </w:r>
            <w:r w:rsidR="00016E6D" w:rsidRPr="002A15A6">
              <w:rPr>
                <w:rFonts w:eastAsia="MS PGothic" w:cstheme="minorHAnsi"/>
                <w:lang w:eastAsia="fi-FI"/>
              </w:rPr>
              <w:t>oitoon liittyviä suosituksia uudelleen arvioitaessa tarvitaan tieto</w:t>
            </w:r>
            <w:r w:rsidR="007B6C15" w:rsidRPr="002A15A6">
              <w:rPr>
                <w:rFonts w:eastAsia="MS PGothic" w:cstheme="minorHAnsi"/>
                <w:lang w:eastAsia="fi-FI"/>
              </w:rPr>
              <w:t>j</w:t>
            </w:r>
            <w:r w:rsidR="00016E6D" w:rsidRPr="002A15A6">
              <w:rPr>
                <w:rFonts w:eastAsia="MS PGothic" w:cstheme="minorHAnsi"/>
                <w:lang w:eastAsia="fi-FI"/>
              </w:rPr>
              <w:t xml:space="preserve">a muuan muassa </w:t>
            </w:r>
            <w:r w:rsidR="00016E6D" w:rsidRPr="002A15A6">
              <w:rPr>
                <w:rFonts w:cstheme="minorHAnsi"/>
              </w:rPr>
              <w:t>hoidettujen potilaiden lukumäärästä ja ominaispiirteistä, hoidon toteutumisesta sekä hoidon lopputuloksista lyhyellä ja pidemmällä aikavälillä (esimerkiksi kuolleisuus,</w:t>
            </w:r>
            <w:r w:rsidR="00E5472D" w:rsidRPr="002A15A6">
              <w:rPr>
                <w:rFonts w:cstheme="minorHAnsi"/>
              </w:rPr>
              <w:t xml:space="preserve"> pysyvä haitta,</w:t>
            </w:r>
            <w:r w:rsidR="00016E6D" w:rsidRPr="002A15A6">
              <w:rPr>
                <w:rFonts w:cstheme="minorHAnsi"/>
              </w:rPr>
              <w:t xml:space="preserve"> hoidon jälkeen tehdyt kantasolusiirrot ja </w:t>
            </w:r>
            <w:r w:rsidR="00A51903" w:rsidRPr="002A15A6">
              <w:rPr>
                <w:rFonts w:cstheme="minorHAnsi"/>
              </w:rPr>
              <w:t>lisä</w:t>
            </w:r>
            <w:r w:rsidR="00016E6D" w:rsidRPr="002A15A6">
              <w:rPr>
                <w:rFonts w:cstheme="minorHAnsi"/>
              </w:rPr>
              <w:t>hoidon tarve).</w:t>
            </w:r>
          </w:p>
        </w:tc>
      </w:tr>
      <w:tr w:rsidR="006F247F" w:rsidRPr="002A15A6" w14:paraId="09E92383" w14:textId="77777777" w:rsidTr="00AB4325">
        <w:tc>
          <w:tcPr>
            <w:tcW w:w="2547" w:type="dxa"/>
            <w:gridSpan w:val="2"/>
          </w:tcPr>
          <w:p w14:paraId="72A9CFEE" w14:textId="77777777" w:rsidR="00D87E78" w:rsidRPr="00A45620" w:rsidRDefault="006F247F" w:rsidP="00A11B24">
            <w:pPr>
              <w:rPr>
                <w:rFonts w:cstheme="minorHAnsi"/>
              </w:rPr>
            </w:pPr>
            <w:r w:rsidRPr="00A45620">
              <w:rPr>
                <w:rFonts w:cstheme="minorHAnsi"/>
              </w:rPr>
              <w:t>Diagnoosi (ICD-10)-koodit</w:t>
            </w:r>
          </w:p>
        </w:tc>
        <w:tc>
          <w:tcPr>
            <w:tcW w:w="7229" w:type="dxa"/>
          </w:tcPr>
          <w:p w14:paraId="779AD4F8" w14:textId="7B6DE1AE" w:rsidR="006F247F" w:rsidRPr="00A45620" w:rsidRDefault="001A6218" w:rsidP="001A6218">
            <w:pPr>
              <w:pStyle w:val="Eivli"/>
              <w:rPr>
                <w:rFonts w:cstheme="minorHAnsi"/>
              </w:rPr>
            </w:pPr>
            <w:r w:rsidRPr="00A45620">
              <w:rPr>
                <w:rFonts w:cstheme="minorHAnsi"/>
              </w:rPr>
              <w:t xml:space="preserve">C91.0 Akuutti </w:t>
            </w:r>
            <w:proofErr w:type="spellStart"/>
            <w:r w:rsidRPr="00A45620">
              <w:rPr>
                <w:rFonts w:cstheme="minorHAnsi"/>
              </w:rPr>
              <w:t>lymfoblastinen</w:t>
            </w:r>
            <w:proofErr w:type="spellEnd"/>
            <w:r w:rsidRPr="00A45620">
              <w:rPr>
                <w:rFonts w:cstheme="minorHAnsi"/>
              </w:rPr>
              <w:t xml:space="preserve"> leukemia (</w:t>
            </w:r>
            <w:r w:rsidR="00893A46" w:rsidRPr="00A45620">
              <w:rPr>
                <w:rFonts w:cstheme="minorHAnsi"/>
              </w:rPr>
              <w:t>ALL</w:t>
            </w:r>
            <w:r w:rsidRPr="00A45620">
              <w:rPr>
                <w:rFonts w:cstheme="minorHAnsi"/>
              </w:rPr>
              <w:t>)</w:t>
            </w:r>
          </w:p>
        </w:tc>
      </w:tr>
      <w:tr w:rsidR="006F247F" w:rsidRPr="002A15A6" w14:paraId="61A6D9CF" w14:textId="77777777" w:rsidTr="00AB4325">
        <w:tc>
          <w:tcPr>
            <w:tcW w:w="2547" w:type="dxa"/>
            <w:gridSpan w:val="2"/>
          </w:tcPr>
          <w:p w14:paraId="44335229" w14:textId="6C098739" w:rsidR="00D87E78" w:rsidRPr="00A45620" w:rsidRDefault="006F247F" w:rsidP="00A11B24">
            <w:pPr>
              <w:rPr>
                <w:rFonts w:cstheme="minorHAnsi"/>
              </w:rPr>
            </w:pPr>
            <w:r w:rsidRPr="00A45620">
              <w:rPr>
                <w:rFonts w:cstheme="minorHAnsi"/>
              </w:rPr>
              <w:t>Taustatiedot ja lähteet</w:t>
            </w:r>
          </w:p>
        </w:tc>
        <w:tc>
          <w:tcPr>
            <w:tcW w:w="7229" w:type="dxa"/>
          </w:tcPr>
          <w:p w14:paraId="7FE3CFC6" w14:textId="11F0083B" w:rsidR="006F247F" w:rsidRPr="00A45620" w:rsidRDefault="00E9298F" w:rsidP="00A11B24">
            <w:pPr>
              <w:pStyle w:val="Eivli"/>
              <w:rPr>
                <w:rFonts w:cstheme="minorHAnsi"/>
              </w:rPr>
            </w:pPr>
            <w:r w:rsidRPr="00A45620">
              <w:rPr>
                <w:rFonts w:cstheme="minorHAnsi"/>
              </w:rPr>
              <w:t xml:space="preserve">Palkon taustamuistio, </w:t>
            </w:r>
            <w:proofErr w:type="spellStart"/>
            <w:r w:rsidRPr="00A45620">
              <w:rPr>
                <w:rFonts w:cstheme="minorHAnsi"/>
              </w:rPr>
              <w:t>Fimean</w:t>
            </w:r>
            <w:proofErr w:type="spellEnd"/>
            <w:r w:rsidRPr="00A45620">
              <w:rPr>
                <w:rFonts w:cstheme="minorHAnsi"/>
              </w:rPr>
              <w:t xml:space="preserve"> arviointiraportti</w:t>
            </w:r>
          </w:p>
        </w:tc>
      </w:tr>
    </w:tbl>
    <w:p w14:paraId="58FED634" w14:textId="77777777" w:rsidR="009D6AE7" w:rsidRPr="002A15A6" w:rsidRDefault="009D6AE7" w:rsidP="00E56D4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9D6AE7" w:rsidRPr="002A15A6" w:rsidSect="008363A0">
      <w:headerReference w:type="default" r:id="rId12"/>
      <w:pgSz w:w="11906" w:h="16838"/>
      <w:pgMar w:top="851" w:right="85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CA225" w14:textId="77777777" w:rsidR="00AE2602" w:rsidRDefault="00AE2602" w:rsidP="001C1246">
      <w:pPr>
        <w:spacing w:after="0" w:line="240" w:lineRule="auto"/>
      </w:pPr>
      <w:r>
        <w:separator/>
      </w:r>
    </w:p>
  </w:endnote>
  <w:endnote w:type="continuationSeparator" w:id="0">
    <w:p w14:paraId="1CE8BBFC" w14:textId="77777777" w:rsidR="00AE2602" w:rsidRDefault="00AE2602" w:rsidP="001C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DE225" w14:textId="77777777" w:rsidR="00AE2602" w:rsidRDefault="00AE2602" w:rsidP="001C1246">
      <w:pPr>
        <w:spacing w:after="0" w:line="240" w:lineRule="auto"/>
      </w:pPr>
      <w:r>
        <w:separator/>
      </w:r>
    </w:p>
  </w:footnote>
  <w:footnote w:type="continuationSeparator" w:id="0">
    <w:p w14:paraId="6854785C" w14:textId="77777777" w:rsidR="00AE2602" w:rsidRDefault="00AE2602" w:rsidP="001C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326"/>
      <w:gridCol w:w="3476"/>
      <w:gridCol w:w="1696"/>
      <w:gridCol w:w="998"/>
    </w:tblGrid>
    <w:tr w:rsidR="008363A0" w14:paraId="5E7AA8DA" w14:textId="77777777" w:rsidTr="00B70682">
      <w:trPr>
        <w:cantSplit/>
      </w:trPr>
      <w:tc>
        <w:tcPr>
          <w:tcW w:w="4326" w:type="dxa"/>
          <w:vMerge w:val="restart"/>
        </w:tcPr>
        <w:p w14:paraId="2DC40BFD" w14:textId="77777777" w:rsidR="008363A0" w:rsidRDefault="008363A0" w:rsidP="00B70682">
          <w:pPr>
            <w:pStyle w:val="STMnormaali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57216" behindDoc="1" locked="0" layoutInCell="1" allowOverlap="1" wp14:anchorId="72D403B6" wp14:editId="5AA96B56">
                <wp:simplePos x="0" y="0"/>
                <wp:positionH relativeFrom="column">
                  <wp:posOffset>42158</wp:posOffset>
                </wp:positionH>
                <wp:positionV relativeFrom="paragraph">
                  <wp:posOffset>-157259</wp:posOffset>
                </wp:positionV>
                <wp:extent cx="2146852" cy="602166"/>
                <wp:effectExtent l="0" t="0" r="6350" b="7620"/>
                <wp:wrapNone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6852" cy="6021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76" w:type="dxa"/>
          <w:tcMar>
            <w:right w:w="284" w:type="dxa"/>
          </w:tcMar>
        </w:tcPr>
        <w:p w14:paraId="550CA500" w14:textId="77777777" w:rsidR="008363A0" w:rsidRDefault="00C7333B" w:rsidP="003D5CEB">
          <w:pPr>
            <w:pStyle w:val="STMnormaali"/>
          </w:pPr>
          <w:r>
            <w:rPr>
              <w:rStyle w:val="Sivunumero"/>
              <w:lang w:eastAsia="fi-FI"/>
            </w:rPr>
            <w:t>SUOSITUS</w:t>
          </w:r>
        </w:p>
      </w:tc>
      <w:tc>
        <w:tcPr>
          <w:tcW w:w="1696" w:type="dxa"/>
        </w:tcPr>
        <w:p w14:paraId="6122E4C3" w14:textId="77777777" w:rsidR="008363A0" w:rsidRDefault="008363A0" w:rsidP="00B70682">
          <w:pPr>
            <w:pStyle w:val="STMnormaali"/>
          </w:pPr>
        </w:p>
      </w:tc>
      <w:tc>
        <w:tcPr>
          <w:tcW w:w="998" w:type="dxa"/>
        </w:tcPr>
        <w:p w14:paraId="12AEFF09" w14:textId="77BB5D5F" w:rsidR="008363A0" w:rsidRDefault="008363A0" w:rsidP="00B70682">
          <w:pPr>
            <w:pStyle w:val="STMnormaali"/>
            <w:rPr>
              <w:rStyle w:val="Sivunumero"/>
              <w:lang w:eastAsia="fi-FI"/>
            </w:rPr>
          </w:pPr>
          <w:r>
            <w:rPr>
              <w:rStyle w:val="Sivunumero"/>
              <w:lang w:eastAsia="fi-FI"/>
            </w:rPr>
            <w:fldChar w:fldCharType="begin"/>
          </w:r>
          <w:r>
            <w:rPr>
              <w:rStyle w:val="Sivunumero"/>
              <w:lang w:eastAsia="fi-FI"/>
            </w:rPr>
            <w:instrText xml:space="preserve"> PAGE </w:instrText>
          </w:r>
          <w:r>
            <w:rPr>
              <w:rStyle w:val="Sivunumero"/>
              <w:lang w:eastAsia="fi-FI"/>
            </w:rPr>
            <w:fldChar w:fldCharType="separate"/>
          </w:r>
          <w:r w:rsidR="002907C4">
            <w:rPr>
              <w:rStyle w:val="Sivunumero"/>
              <w:noProof/>
              <w:lang w:eastAsia="fi-FI"/>
            </w:rPr>
            <w:t>1</w:t>
          </w:r>
          <w:r>
            <w:rPr>
              <w:rStyle w:val="Sivunumero"/>
              <w:lang w:eastAsia="fi-FI"/>
            </w:rPr>
            <w:fldChar w:fldCharType="end"/>
          </w:r>
          <w:r>
            <w:rPr>
              <w:rStyle w:val="Sivunumero"/>
              <w:lang w:eastAsia="fi-FI"/>
            </w:rPr>
            <w:t>(</w:t>
          </w:r>
          <w:r>
            <w:rPr>
              <w:rStyle w:val="Sivunumero"/>
              <w:lang w:eastAsia="fi-FI"/>
            </w:rPr>
            <w:fldChar w:fldCharType="begin"/>
          </w:r>
          <w:r>
            <w:rPr>
              <w:rStyle w:val="Sivunumero"/>
              <w:lang w:eastAsia="fi-FI"/>
            </w:rPr>
            <w:instrText xml:space="preserve"> NUMPAGES </w:instrText>
          </w:r>
          <w:r>
            <w:rPr>
              <w:rStyle w:val="Sivunumero"/>
              <w:lang w:eastAsia="fi-FI"/>
            </w:rPr>
            <w:fldChar w:fldCharType="separate"/>
          </w:r>
          <w:r w:rsidR="002907C4">
            <w:rPr>
              <w:rStyle w:val="Sivunumero"/>
              <w:noProof/>
              <w:lang w:eastAsia="fi-FI"/>
            </w:rPr>
            <w:t>1</w:t>
          </w:r>
          <w:r>
            <w:rPr>
              <w:rStyle w:val="Sivunumero"/>
              <w:lang w:eastAsia="fi-FI"/>
            </w:rPr>
            <w:fldChar w:fldCharType="end"/>
          </w:r>
          <w:r>
            <w:rPr>
              <w:rStyle w:val="Sivunumero"/>
              <w:lang w:eastAsia="fi-FI"/>
            </w:rPr>
            <w:t>)</w:t>
          </w:r>
        </w:p>
      </w:tc>
    </w:tr>
    <w:tr w:rsidR="008363A0" w14:paraId="5C12E16F" w14:textId="77777777" w:rsidTr="00B70682">
      <w:trPr>
        <w:cantSplit/>
      </w:trPr>
      <w:tc>
        <w:tcPr>
          <w:tcW w:w="4326" w:type="dxa"/>
          <w:vMerge/>
        </w:tcPr>
        <w:p w14:paraId="22AC8FF5" w14:textId="77777777" w:rsidR="008363A0" w:rsidRDefault="008363A0" w:rsidP="00B70682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3476" w:type="dxa"/>
          <w:tcMar>
            <w:right w:w="284" w:type="dxa"/>
          </w:tcMar>
        </w:tcPr>
        <w:p w14:paraId="511B7EE6" w14:textId="77777777" w:rsidR="008363A0" w:rsidRDefault="008363A0" w:rsidP="00B70682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1696" w:type="dxa"/>
        </w:tcPr>
        <w:p w14:paraId="26E00FAE" w14:textId="77777777" w:rsidR="008363A0" w:rsidRDefault="008363A0" w:rsidP="00B70682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998" w:type="dxa"/>
        </w:tcPr>
        <w:p w14:paraId="7CC63CAE" w14:textId="77777777" w:rsidR="008363A0" w:rsidRDefault="008363A0" w:rsidP="00B70682">
          <w:pPr>
            <w:pStyle w:val="STMnormaali"/>
            <w:rPr>
              <w:rStyle w:val="Sivunumero"/>
              <w:lang w:eastAsia="fi-FI"/>
            </w:rPr>
          </w:pPr>
        </w:p>
      </w:tc>
    </w:tr>
    <w:tr w:rsidR="008363A0" w14:paraId="2F6FB1AE" w14:textId="77777777" w:rsidTr="00B70682">
      <w:trPr>
        <w:cantSplit/>
      </w:trPr>
      <w:tc>
        <w:tcPr>
          <w:tcW w:w="4326" w:type="dxa"/>
        </w:tcPr>
        <w:p w14:paraId="0A871990" w14:textId="77777777" w:rsidR="00406F7C" w:rsidRDefault="00406F7C" w:rsidP="00B70682">
          <w:pPr>
            <w:pStyle w:val="STMnormaali"/>
            <w:rPr>
              <w:rStyle w:val="Sivunumero"/>
              <w:b/>
              <w:lang w:eastAsia="fi-FI"/>
            </w:rPr>
          </w:pPr>
        </w:p>
        <w:p w14:paraId="5B5F53D6" w14:textId="411E095B" w:rsidR="008363A0" w:rsidRPr="00406F7C" w:rsidRDefault="008363A0" w:rsidP="00950D3A">
          <w:pPr>
            <w:pStyle w:val="STMnormaali"/>
            <w:rPr>
              <w:rStyle w:val="Sivunumero"/>
              <w:b/>
              <w:lang w:eastAsia="fi-FI"/>
            </w:rPr>
          </w:pPr>
        </w:p>
      </w:tc>
      <w:tc>
        <w:tcPr>
          <w:tcW w:w="3476" w:type="dxa"/>
          <w:tcMar>
            <w:right w:w="284" w:type="dxa"/>
          </w:tcMar>
        </w:tcPr>
        <w:p w14:paraId="732023E3" w14:textId="394304A5" w:rsidR="008363A0" w:rsidRPr="00406F7C" w:rsidRDefault="002A15A6" w:rsidP="00406F7C">
          <w:pPr>
            <w:rPr>
              <w:rStyle w:val="Sivunumero"/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xx.xx.2019</w:t>
          </w:r>
          <w:r w:rsidR="00B24CDA">
            <w:tab/>
          </w:r>
          <w:r w:rsidR="00B24CDA">
            <w:tab/>
            <w:t xml:space="preserve"> </w:t>
          </w:r>
        </w:p>
      </w:tc>
      <w:tc>
        <w:tcPr>
          <w:tcW w:w="2694" w:type="dxa"/>
          <w:gridSpan w:val="2"/>
        </w:tcPr>
        <w:p w14:paraId="330DB1ED" w14:textId="77777777" w:rsidR="008363A0" w:rsidRDefault="008363A0" w:rsidP="006B4231">
          <w:pPr>
            <w:pStyle w:val="STMnormaali"/>
            <w:rPr>
              <w:rStyle w:val="Sivunumero"/>
              <w:lang w:eastAsia="fi-FI"/>
            </w:rPr>
          </w:pPr>
        </w:p>
      </w:tc>
    </w:tr>
  </w:tbl>
  <w:p w14:paraId="6B003F38" w14:textId="32D4375F" w:rsidR="008363A0" w:rsidRPr="008363A0" w:rsidRDefault="00AE2602" w:rsidP="00B24CDA">
    <w:pPr>
      <w:pStyle w:val="STMnormaali"/>
    </w:pPr>
    <w:sdt>
      <w:sdtPr>
        <w:id w:val="-2005665504"/>
        <w:docPartObj>
          <w:docPartGallery w:val="Watermarks"/>
          <w:docPartUnique/>
        </w:docPartObj>
      </w:sdtPr>
      <w:sdtEndPr/>
      <w:sdtContent>
        <w:r>
          <w:pict w14:anchorId="5BF0E97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LUONNOS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46F78"/>
    <w:multiLevelType w:val="hybridMultilevel"/>
    <w:tmpl w:val="9A1A717E"/>
    <w:lvl w:ilvl="0" w:tplc="040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3C2A32"/>
    <w:multiLevelType w:val="hybridMultilevel"/>
    <w:tmpl w:val="D012D438"/>
    <w:lvl w:ilvl="0" w:tplc="88CC65EE">
      <w:start w:val="1"/>
      <w:numFmt w:val="bullet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5F7719E7"/>
    <w:multiLevelType w:val="hybridMultilevel"/>
    <w:tmpl w:val="ADA63F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079A9"/>
    <w:multiLevelType w:val="hybridMultilevel"/>
    <w:tmpl w:val="142C5A48"/>
    <w:lvl w:ilvl="0" w:tplc="88CC65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B357A1"/>
    <w:multiLevelType w:val="hybridMultilevel"/>
    <w:tmpl w:val="1D1286C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removePersonalInformation/>
  <w:removeDateAndTime/>
  <w:proofState w:spelling="clean" w:grammar="clean"/>
  <w:defaultTabStop w:val="1304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34"/>
    <w:rsid w:val="0000587B"/>
    <w:rsid w:val="00006DA2"/>
    <w:rsid w:val="0000707F"/>
    <w:rsid w:val="00013CE4"/>
    <w:rsid w:val="0001533A"/>
    <w:rsid w:val="00016E6D"/>
    <w:rsid w:val="00016F2C"/>
    <w:rsid w:val="00017B74"/>
    <w:rsid w:val="00017BF6"/>
    <w:rsid w:val="00020C68"/>
    <w:rsid w:val="00023EE9"/>
    <w:rsid w:val="00026672"/>
    <w:rsid w:val="00030267"/>
    <w:rsid w:val="00032642"/>
    <w:rsid w:val="00037ECD"/>
    <w:rsid w:val="00042B3E"/>
    <w:rsid w:val="000504AC"/>
    <w:rsid w:val="00055724"/>
    <w:rsid w:val="00057349"/>
    <w:rsid w:val="00060306"/>
    <w:rsid w:val="00060C66"/>
    <w:rsid w:val="00060DCA"/>
    <w:rsid w:val="000619A8"/>
    <w:rsid w:val="00062940"/>
    <w:rsid w:val="000631DF"/>
    <w:rsid w:val="000652B4"/>
    <w:rsid w:val="00070965"/>
    <w:rsid w:val="000711D1"/>
    <w:rsid w:val="0007482C"/>
    <w:rsid w:val="00083067"/>
    <w:rsid w:val="00086672"/>
    <w:rsid w:val="00087387"/>
    <w:rsid w:val="00087EF9"/>
    <w:rsid w:val="00094743"/>
    <w:rsid w:val="000A1377"/>
    <w:rsid w:val="000A3965"/>
    <w:rsid w:val="000A4919"/>
    <w:rsid w:val="000B5914"/>
    <w:rsid w:val="000B5F56"/>
    <w:rsid w:val="000B6F02"/>
    <w:rsid w:val="000C03F1"/>
    <w:rsid w:val="000C1447"/>
    <w:rsid w:val="000C44DC"/>
    <w:rsid w:val="000C7DD5"/>
    <w:rsid w:val="000D126E"/>
    <w:rsid w:val="000D1B76"/>
    <w:rsid w:val="000E2EC5"/>
    <w:rsid w:val="000E3306"/>
    <w:rsid w:val="000E44FC"/>
    <w:rsid w:val="000E7636"/>
    <w:rsid w:val="000E7718"/>
    <w:rsid w:val="000F4BF0"/>
    <w:rsid w:val="000F5844"/>
    <w:rsid w:val="000F58A1"/>
    <w:rsid w:val="000F6882"/>
    <w:rsid w:val="001052F3"/>
    <w:rsid w:val="00106824"/>
    <w:rsid w:val="001111E5"/>
    <w:rsid w:val="0011697E"/>
    <w:rsid w:val="001178D7"/>
    <w:rsid w:val="00120011"/>
    <w:rsid w:val="001239C0"/>
    <w:rsid w:val="00126BF9"/>
    <w:rsid w:val="00126F31"/>
    <w:rsid w:val="00135559"/>
    <w:rsid w:val="00137AEB"/>
    <w:rsid w:val="001466C9"/>
    <w:rsid w:val="00147AEC"/>
    <w:rsid w:val="0015177A"/>
    <w:rsid w:val="00152299"/>
    <w:rsid w:val="001550E5"/>
    <w:rsid w:val="00167E77"/>
    <w:rsid w:val="0017116E"/>
    <w:rsid w:val="0017439D"/>
    <w:rsid w:val="00174BF4"/>
    <w:rsid w:val="00180484"/>
    <w:rsid w:val="00180B53"/>
    <w:rsid w:val="00182A21"/>
    <w:rsid w:val="0018711A"/>
    <w:rsid w:val="0019219C"/>
    <w:rsid w:val="001A3047"/>
    <w:rsid w:val="001A6218"/>
    <w:rsid w:val="001A7337"/>
    <w:rsid w:val="001B0047"/>
    <w:rsid w:val="001B2213"/>
    <w:rsid w:val="001C1246"/>
    <w:rsid w:val="001C4A8A"/>
    <w:rsid w:val="001C57F7"/>
    <w:rsid w:val="001D2F7F"/>
    <w:rsid w:val="001D49F9"/>
    <w:rsid w:val="001D6705"/>
    <w:rsid w:val="001E5E35"/>
    <w:rsid w:val="001F36CC"/>
    <w:rsid w:val="001F745F"/>
    <w:rsid w:val="002023C0"/>
    <w:rsid w:val="00206C48"/>
    <w:rsid w:val="002072F8"/>
    <w:rsid w:val="00224EAC"/>
    <w:rsid w:val="0022774F"/>
    <w:rsid w:val="00231B0D"/>
    <w:rsid w:val="0024084F"/>
    <w:rsid w:val="002415FE"/>
    <w:rsid w:val="002426AC"/>
    <w:rsid w:val="00245D9D"/>
    <w:rsid w:val="00252E5C"/>
    <w:rsid w:val="00254FC7"/>
    <w:rsid w:val="00261021"/>
    <w:rsid w:val="00261D46"/>
    <w:rsid w:val="002738BC"/>
    <w:rsid w:val="0028376D"/>
    <w:rsid w:val="002907C4"/>
    <w:rsid w:val="00290CBC"/>
    <w:rsid w:val="00290D02"/>
    <w:rsid w:val="00291CB0"/>
    <w:rsid w:val="00295081"/>
    <w:rsid w:val="00296026"/>
    <w:rsid w:val="00296C5A"/>
    <w:rsid w:val="00297A9C"/>
    <w:rsid w:val="002A15A6"/>
    <w:rsid w:val="002A2173"/>
    <w:rsid w:val="002A2E5F"/>
    <w:rsid w:val="002B21BE"/>
    <w:rsid w:val="002B2BCB"/>
    <w:rsid w:val="002B41A8"/>
    <w:rsid w:val="002B63C7"/>
    <w:rsid w:val="002C1C6C"/>
    <w:rsid w:val="002C3641"/>
    <w:rsid w:val="002C6ADC"/>
    <w:rsid w:val="002D0834"/>
    <w:rsid w:val="002D59AA"/>
    <w:rsid w:val="002E1E1E"/>
    <w:rsid w:val="002E24AF"/>
    <w:rsid w:val="002E2995"/>
    <w:rsid w:val="002E4E10"/>
    <w:rsid w:val="002E6830"/>
    <w:rsid w:val="002F2532"/>
    <w:rsid w:val="002F38A9"/>
    <w:rsid w:val="002F4808"/>
    <w:rsid w:val="002F5956"/>
    <w:rsid w:val="002F6390"/>
    <w:rsid w:val="003006A4"/>
    <w:rsid w:val="00300A03"/>
    <w:rsid w:val="00303012"/>
    <w:rsid w:val="00306E0E"/>
    <w:rsid w:val="00312B35"/>
    <w:rsid w:val="00312F8E"/>
    <w:rsid w:val="00326983"/>
    <w:rsid w:val="00333D89"/>
    <w:rsid w:val="00335435"/>
    <w:rsid w:val="00340131"/>
    <w:rsid w:val="00343553"/>
    <w:rsid w:val="00345782"/>
    <w:rsid w:val="003460D5"/>
    <w:rsid w:val="00351D6B"/>
    <w:rsid w:val="00351DAB"/>
    <w:rsid w:val="003533DF"/>
    <w:rsid w:val="003538FE"/>
    <w:rsid w:val="00357A75"/>
    <w:rsid w:val="00363404"/>
    <w:rsid w:val="00364AFD"/>
    <w:rsid w:val="0036504B"/>
    <w:rsid w:val="003663C5"/>
    <w:rsid w:val="00376E92"/>
    <w:rsid w:val="003806D6"/>
    <w:rsid w:val="00393E9B"/>
    <w:rsid w:val="003965AE"/>
    <w:rsid w:val="003A2E03"/>
    <w:rsid w:val="003A309C"/>
    <w:rsid w:val="003B298E"/>
    <w:rsid w:val="003C0F84"/>
    <w:rsid w:val="003C235F"/>
    <w:rsid w:val="003C2C2D"/>
    <w:rsid w:val="003C6708"/>
    <w:rsid w:val="003D07B4"/>
    <w:rsid w:val="003D5CEB"/>
    <w:rsid w:val="003E1DF2"/>
    <w:rsid w:val="003E6F68"/>
    <w:rsid w:val="003F073D"/>
    <w:rsid w:val="003F154C"/>
    <w:rsid w:val="003F5858"/>
    <w:rsid w:val="003F6182"/>
    <w:rsid w:val="00401464"/>
    <w:rsid w:val="00406F7C"/>
    <w:rsid w:val="00407D5F"/>
    <w:rsid w:val="0041496F"/>
    <w:rsid w:val="0042067D"/>
    <w:rsid w:val="004219F2"/>
    <w:rsid w:val="00422493"/>
    <w:rsid w:val="00422AC1"/>
    <w:rsid w:val="004333A2"/>
    <w:rsid w:val="004413D6"/>
    <w:rsid w:val="00441682"/>
    <w:rsid w:val="00441846"/>
    <w:rsid w:val="00443D9B"/>
    <w:rsid w:val="00451D98"/>
    <w:rsid w:val="00453905"/>
    <w:rsid w:val="00453BDA"/>
    <w:rsid w:val="0045641B"/>
    <w:rsid w:val="0045764C"/>
    <w:rsid w:val="00460CBB"/>
    <w:rsid w:val="00461753"/>
    <w:rsid w:val="00462E48"/>
    <w:rsid w:val="00463656"/>
    <w:rsid w:val="00470681"/>
    <w:rsid w:val="00475490"/>
    <w:rsid w:val="00477B3D"/>
    <w:rsid w:val="0048418F"/>
    <w:rsid w:val="0048467A"/>
    <w:rsid w:val="00490715"/>
    <w:rsid w:val="00490E1F"/>
    <w:rsid w:val="004941C5"/>
    <w:rsid w:val="004954A8"/>
    <w:rsid w:val="00495768"/>
    <w:rsid w:val="0049763C"/>
    <w:rsid w:val="004A0839"/>
    <w:rsid w:val="004A113C"/>
    <w:rsid w:val="004A36DB"/>
    <w:rsid w:val="004B5C20"/>
    <w:rsid w:val="004B5EC6"/>
    <w:rsid w:val="004B606B"/>
    <w:rsid w:val="004B70C6"/>
    <w:rsid w:val="004B741A"/>
    <w:rsid w:val="004B75B9"/>
    <w:rsid w:val="004C3AB1"/>
    <w:rsid w:val="004D281F"/>
    <w:rsid w:val="004D3FD5"/>
    <w:rsid w:val="004D671E"/>
    <w:rsid w:val="004D7F5D"/>
    <w:rsid w:val="004E25BE"/>
    <w:rsid w:val="004E4D13"/>
    <w:rsid w:val="004F568A"/>
    <w:rsid w:val="004F6CE5"/>
    <w:rsid w:val="005015CA"/>
    <w:rsid w:val="0050722F"/>
    <w:rsid w:val="0050744A"/>
    <w:rsid w:val="00507D65"/>
    <w:rsid w:val="00512F1D"/>
    <w:rsid w:val="00514935"/>
    <w:rsid w:val="0051712F"/>
    <w:rsid w:val="005220EE"/>
    <w:rsid w:val="00533439"/>
    <w:rsid w:val="005345AA"/>
    <w:rsid w:val="0053505A"/>
    <w:rsid w:val="00540E20"/>
    <w:rsid w:val="0054576B"/>
    <w:rsid w:val="00554576"/>
    <w:rsid w:val="00554D8F"/>
    <w:rsid w:val="00554F97"/>
    <w:rsid w:val="005552B2"/>
    <w:rsid w:val="00560FB9"/>
    <w:rsid w:val="00571BFA"/>
    <w:rsid w:val="00571E66"/>
    <w:rsid w:val="00580A83"/>
    <w:rsid w:val="00586B05"/>
    <w:rsid w:val="00587BF0"/>
    <w:rsid w:val="005A5638"/>
    <w:rsid w:val="005A69F1"/>
    <w:rsid w:val="005B093E"/>
    <w:rsid w:val="005B1CA9"/>
    <w:rsid w:val="005B7567"/>
    <w:rsid w:val="005D43BF"/>
    <w:rsid w:val="005D5F68"/>
    <w:rsid w:val="005D77E1"/>
    <w:rsid w:val="005E0C7B"/>
    <w:rsid w:val="005E4940"/>
    <w:rsid w:val="005E5A65"/>
    <w:rsid w:val="005E7F39"/>
    <w:rsid w:val="005F3B3E"/>
    <w:rsid w:val="005F4756"/>
    <w:rsid w:val="005F5AEC"/>
    <w:rsid w:val="005F7A81"/>
    <w:rsid w:val="00600588"/>
    <w:rsid w:val="00600BFB"/>
    <w:rsid w:val="006018D7"/>
    <w:rsid w:val="00601DC8"/>
    <w:rsid w:val="006163B7"/>
    <w:rsid w:val="00620E62"/>
    <w:rsid w:val="006253B2"/>
    <w:rsid w:val="0063299A"/>
    <w:rsid w:val="00634827"/>
    <w:rsid w:val="0064181B"/>
    <w:rsid w:val="006467AD"/>
    <w:rsid w:val="00646E3C"/>
    <w:rsid w:val="00651351"/>
    <w:rsid w:val="0065383C"/>
    <w:rsid w:val="006615EF"/>
    <w:rsid w:val="006626D6"/>
    <w:rsid w:val="00662DD8"/>
    <w:rsid w:val="00663EA5"/>
    <w:rsid w:val="006663B9"/>
    <w:rsid w:val="0066691E"/>
    <w:rsid w:val="0066791D"/>
    <w:rsid w:val="00667B08"/>
    <w:rsid w:val="006734D0"/>
    <w:rsid w:val="0068453C"/>
    <w:rsid w:val="006848C4"/>
    <w:rsid w:val="0068763E"/>
    <w:rsid w:val="006903AE"/>
    <w:rsid w:val="00691037"/>
    <w:rsid w:val="00691383"/>
    <w:rsid w:val="006913DF"/>
    <w:rsid w:val="00691BF9"/>
    <w:rsid w:val="006A6A5A"/>
    <w:rsid w:val="006A6D0A"/>
    <w:rsid w:val="006B4231"/>
    <w:rsid w:val="006B4454"/>
    <w:rsid w:val="006C1D37"/>
    <w:rsid w:val="006C26A5"/>
    <w:rsid w:val="006C3925"/>
    <w:rsid w:val="006C67EC"/>
    <w:rsid w:val="006D1024"/>
    <w:rsid w:val="006D1E1B"/>
    <w:rsid w:val="006D6461"/>
    <w:rsid w:val="006D6AA4"/>
    <w:rsid w:val="006E1A95"/>
    <w:rsid w:val="006E3232"/>
    <w:rsid w:val="006E71D9"/>
    <w:rsid w:val="006F247F"/>
    <w:rsid w:val="006F2526"/>
    <w:rsid w:val="00703127"/>
    <w:rsid w:val="00703302"/>
    <w:rsid w:val="00704FA5"/>
    <w:rsid w:val="00715B24"/>
    <w:rsid w:val="007240B4"/>
    <w:rsid w:val="00726D16"/>
    <w:rsid w:val="00727C7D"/>
    <w:rsid w:val="007318B4"/>
    <w:rsid w:val="00740083"/>
    <w:rsid w:val="00743595"/>
    <w:rsid w:val="00744096"/>
    <w:rsid w:val="007457F1"/>
    <w:rsid w:val="00753C06"/>
    <w:rsid w:val="00760D43"/>
    <w:rsid w:val="00762EDF"/>
    <w:rsid w:val="00763D59"/>
    <w:rsid w:val="00772F82"/>
    <w:rsid w:val="007749BA"/>
    <w:rsid w:val="0077637D"/>
    <w:rsid w:val="00777E47"/>
    <w:rsid w:val="007812EB"/>
    <w:rsid w:val="00785260"/>
    <w:rsid w:val="00787A05"/>
    <w:rsid w:val="00790BF5"/>
    <w:rsid w:val="007A2583"/>
    <w:rsid w:val="007A470C"/>
    <w:rsid w:val="007B6422"/>
    <w:rsid w:val="007B6C15"/>
    <w:rsid w:val="007C1A09"/>
    <w:rsid w:val="007C6343"/>
    <w:rsid w:val="007D0871"/>
    <w:rsid w:val="007D0873"/>
    <w:rsid w:val="007D25F6"/>
    <w:rsid w:val="007D45B3"/>
    <w:rsid w:val="007E6D42"/>
    <w:rsid w:val="007F1273"/>
    <w:rsid w:val="00813673"/>
    <w:rsid w:val="00814FC6"/>
    <w:rsid w:val="008156B9"/>
    <w:rsid w:val="008201F1"/>
    <w:rsid w:val="00824B71"/>
    <w:rsid w:val="00826D8B"/>
    <w:rsid w:val="00827151"/>
    <w:rsid w:val="00835D3C"/>
    <w:rsid w:val="0083629C"/>
    <w:rsid w:val="008363A0"/>
    <w:rsid w:val="00841CBF"/>
    <w:rsid w:val="008420B0"/>
    <w:rsid w:val="00845885"/>
    <w:rsid w:val="00850D38"/>
    <w:rsid w:val="00851331"/>
    <w:rsid w:val="008531B0"/>
    <w:rsid w:val="00854B44"/>
    <w:rsid w:val="00855B3F"/>
    <w:rsid w:val="00862F9C"/>
    <w:rsid w:val="00866732"/>
    <w:rsid w:val="00874BAE"/>
    <w:rsid w:val="008831F2"/>
    <w:rsid w:val="00884E49"/>
    <w:rsid w:val="0089023F"/>
    <w:rsid w:val="00893A46"/>
    <w:rsid w:val="00895BD3"/>
    <w:rsid w:val="00895E40"/>
    <w:rsid w:val="008A4E7E"/>
    <w:rsid w:val="008A6AE9"/>
    <w:rsid w:val="008B2F85"/>
    <w:rsid w:val="008B5985"/>
    <w:rsid w:val="008B6946"/>
    <w:rsid w:val="008C0B38"/>
    <w:rsid w:val="008C714F"/>
    <w:rsid w:val="008D7470"/>
    <w:rsid w:val="008E4175"/>
    <w:rsid w:val="008E49D8"/>
    <w:rsid w:val="008E66A4"/>
    <w:rsid w:val="008F48D4"/>
    <w:rsid w:val="008F713B"/>
    <w:rsid w:val="008F7E2A"/>
    <w:rsid w:val="009002DD"/>
    <w:rsid w:val="009147FC"/>
    <w:rsid w:val="00920772"/>
    <w:rsid w:val="0092327B"/>
    <w:rsid w:val="00923EE2"/>
    <w:rsid w:val="0092408C"/>
    <w:rsid w:val="009245FD"/>
    <w:rsid w:val="00924E0A"/>
    <w:rsid w:val="0093347C"/>
    <w:rsid w:val="00935D20"/>
    <w:rsid w:val="009367D3"/>
    <w:rsid w:val="009411F8"/>
    <w:rsid w:val="009423C1"/>
    <w:rsid w:val="00945D7D"/>
    <w:rsid w:val="00946ACD"/>
    <w:rsid w:val="00946D8E"/>
    <w:rsid w:val="00950D3A"/>
    <w:rsid w:val="009614D6"/>
    <w:rsid w:val="00961E58"/>
    <w:rsid w:val="00970F8F"/>
    <w:rsid w:val="00975924"/>
    <w:rsid w:val="00977A9D"/>
    <w:rsid w:val="00977EBE"/>
    <w:rsid w:val="0098094D"/>
    <w:rsid w:val="009809E4"/>
    <w:rsid w:val="00980A46"/>
    <w:rsid w:val="00980F5F"/>
    <w:rsid w:val="009A6951"/>
    <w:rsid w:val="009A6F57"/>
    <w:rsid w:val="009B0A0A"/>
    <w:rsid w:val="009B1871"/>
    <w:rsid w:val="009B1C6A"/>
    <w:rsid w:val="009B5CF3"/>
    <w:rsid w:val="009B6F0A"/>
    <w:rsid w:val="009C32E3"/>
    <w:rsid w:val="009C3742"/>
    <w:rsid w:val="009C3B7F"/>
    <w:rsid w:val="009C7D5A"/>
    <w:rsid w:val="009D3F00"/>
    <w:rsid w:val="009D6AE7"/>
    <w:rsid w:val="009F0A16"/>
    <w:rsid w:val="00A03178"/>
    <w:rsid w:val="00A046A9"/>
    <w:rsid w:val="00A0488E"/>
    <w:rsid w:val="00A05709"/>
    <w:rsid w:val="00A11B24"/>
    <w:rsid w:val="00A12E1F"/>
    <w:rsid w:val="00A13698"/>
    <w:rsid w:val="00A160E4"/>
    <w:rsid w:val="00A22CA2"/>
    <w:rsid w:val="00A24C6D"/>
    <w:rsid w:val="00A26C52"/>
    <w:rsid w:val="00A2744F"/>
    <w:rsid w:val="00A30423"/>
    <w:rsid w:val="00A319DD"/>
    <w:rsid w:val="00A417F5"/>
    <w:rsid w:val="00A42212"/>
    <w:rsid w:val="00A43E24"/>
    <w:rsid w:val="00A44520"/>
    <w:rsid w:val="00A45620"/>
    <w:rsid w:val="00A51903"/>
    <w:rsid w:val="00A52CC1"/>
    <w:rsid w:val="00A561F1"/>
    <w:rsid w:val="00A62659"/>
    <w:rsid w:val="00A70B9A"/>
    <w:rsid w:val="00A75A88"/>
    <w:rsid w:val="00A80B19"/>
    <w:rsid w:val="00A82147"/>
    <w:rsid w:val="00A83DBE"/>
    <w:rsid w:val="00A91E0C"/>
    <w:rsid w:val="00A920FD"/>
    <w:rsid w:val="00A950FD"/>
    <w:rsid w:val="00A95AA8"/>
    <w:rsid w:val="00AA42EF"/>
    <w:rsid w:val="00AA6B24"/>
    <w:rsid w:val="00AB00FF"/>
    <w:rsid w:val="00AB20D1"/>
    <w:rsid w:val="00AB33E0"/>
    <w:rsid w:val="00AB4325"/>
    <w:rsid w:val="00AB7E2D"/>
    <w:rsid w:val="00AC1D0A"/>
    <w:rsid w:val="00AC6278"/>
    <w:rsid w:val="00AC63DF"/>
    <w:rsid w:val="00AC66B2"/>
    <w:rsid w:val="00AD15FA"/>
    <w:rsid w:val="00AD1EFC"/>
    <w:rsid w:val="00AD4152"/>
    <w:rsid w:val="00AE2602"/>
    <w:rsid w:val="00AE4673"/>
    <w:rsid w:val="00AE4986"/>
    <w:rsid w:val="00AE61F7"/>
    <w:rsid w:val="00AE6572"/>
    <w:rsid w:val="00AE7A86"/>
    <w:rsid w:val="00B00A3D"/>
    <w:rsid w:val="00B00AA1"/>
    <w:rsid w:val="00B06946"/>
    <w:rsid w:val="00B13EB9"/>
    <w:rsid w:val="00B1700D"/>
    <w:rsid w:val="00B24CDA"/>
    <w:rsid w:val="00B26EE4"/>
    <w:rsid w:val="00B277B0"/>
    <w:rsid w:val="00B3528F"/>
    <w:rsid w:val="00B37D79"/>
    <w:rsid w:val="00B37DE2"/>
    <w:rsid w:val="00B43F63"/>
    <w:rsid w:val="00B45EEE"/>
    <w:rsid w:val="00B46714"/>
    <w:rsid w:val="00B46BF9"/>
    <w:rsid w:val="00B50FBB"/>
    <w:rsid w:val="00B51DA5"/>
    <w:rsid w:val="00B62F2B"/>
    <w:rsid w:val="00B701DA"/>
    <w:rsid w:val="00B81746"/>
    <w:rsid w:val="00B844EF"/>
    <w:rsid w:val="00B93316"/>
    <w:rsid w:val="00B94EF1"/>
    <w:rsid w:val="00BA2F5D"/>
    <w:rsid w:val="00BA32C3"/>
    <w:rsid w:val="00BA52CA"/>
    <w:rsid w:val="00BA7E9B"/>
    <w:rsid w:val="00BB3AFE"/>
    <w:rsid w:val="00BB53F7"/>
    <w:rsid w:val="00BC7BA8"/>
    <w:rsid w:val="00BD0212"/>
    <w:rsid w:val="00BD0889"/>
    <w:rsid w:val="00BD6C70"/>
    <w:rsid w:val="00BE1617"/>
    <w:rsid w:val="00BE1C91"/>
    <w:rsid w:val="00BE1EEC"/>
    <w:rsid w:val="00BF3082"/>
    <w:rsid w:val="00BF3C3E"/>
    <w:rsid w:val="00BF3D9F"/>
    <w:rsid w:val="00BF406E"/>
    <w:rsid w:val="00BF6CC9"/>
    <w:rsid w:val="00C00D9C"/>
    <w:rsid w:val="00C01BAD"/>
    <w:rsid w:val="00C10BA6"/>
    <w:rsid w:val="00C10F70"/>
    <w:rsid w:val="00C11610"/>
    <w:rsid w:val="00C13006"/>
    <w:rsid w:val="00C14A44"/>
    <w:rsid w:val="00C14C9A"/>
    <w:rsid w:val="00C15B4C"/>
    <w:rsid w:val="00C21CCA"/>
    <w:rsid w:val="00C228E1"/>
    <w:rsid w:val="00C3176F"/>
    <w:rsid w:val="00C35FDC"/>
    <w:rsid w:val="00C3791A"/>
    <w:rsid w:val="00C40404"/>
    <w:rsid w:val="00C4098E"/>
    <w:rsid w:val="00C43B7B"/>
    <w:rsid w:val="00C45781"/>
    <w:rsid w:val="00C45E80"/>
    <w:rsid w:val="00C47F9D"/>
    <w:rsid w:val="00C52BEF"/>
    <w:rsid w:val="00C64925"/>
    <w:rsid w:val="00C672F0"/>
    <w:rsid w:val="00C70363"/>
    <w:rsid w:val="00C7333B"/>
    <w:rsid w:val="00C753E4"/>
    <w:rsid w:val="00C75405"/>
    <w:rsid w:val="00C76834"/>
    <w:rsid w:val="00C76D18"/>
    <w:rsid w:val="00C77B40"/>
    <w:rsid w:val="00C84C76"/>
    <w:rsid w:val="00C92F3D"/>
    <w:rsid w:val="00C94C6B"/>
    <w:rsid w:val="00C955F4"/>
    <w:rsid w:val="00CA2CDA"/>
    <w:rsid w:val="00CA38AF"/>
    <w:rsid w:val="00CA4083"/>
    <w:rsid w:val="00CB56A9"/>
    <w:rsid w:val="00CB5F88"/>
    <w:rsid w:val="00CC2D6A"/>
    <w:rsid w:val="00CC4300"/>
    <w:rsid w:val="00CC5B33"/>
    <w:rsid w:val="00CD39FB"/>
    <w:rsid w:val="00CD5644"/>
    <w:rsid w:val="00CE048E"/>
    <w:rsid w:val="00CE4305"/>
    <w:rsid w:val="00CE43B8"/>
    <w:rsid w:val="00CE4E6A"/>
    <w:rsid w:val="00CE5853"/>
    <w:rsid w:val="00CE78EC"/>
    <w:rsid w:val="00CF2A67"/>
    <w:rsid w:val="00CF3BB5"/>
    <w:rsid w:val="00D01325"/>
    <w:rsid w:val="00D02EEA"/>
    <w:rsid w:val="00D03104"/>
    <w:rsid w:val="00D053B3"/>
    <w:rsid w:val="00D108EA"/>
    <w:rsid w:val="00D10C72"/>
    <w:rsid w:val="00D13F1A"/>
    <w:rsid w:val="00D20FB9"/>
    <w:rsid w:val="00D26D3F"/>
    <w:rsid w:val="00D37115"/>
    <w:rsid w:val="00D37EE0"/>
    <w:rsid w:val="00D41786"/>
    <w:rsid w:val="00D42122"/>
    <w:rsid w:val="00D47F48"/>
    <w:rsid w:val="00D60A28"/>
    <w:rsid w:val="00D6212A"/>
    <w:rsid w:val="00D65970"/>
    <w:rsid w:val="00D67455"/>
    <w:rsid w:val="00D70E07"/>
    <w:rsid w:val="00D72E25"/>
    <w:rsid w:val="00D73691"/>
    <w:rsid w:val="00D74999"/>
    <w:rsid w:val="00D8091A"/>
    <w:rsid w:val="00D80DF7"/>
    <w:rsid w:val="00D82AF1"/>
    <w:rsid w:val="00D87AF0"/>
    <w:rsid w:val="00D87E78"/>
    <w:rsid w:val="00D90932"/>
    <w:rsid w:val="00D92012"/>
    <w:rsid w:val="00D92DBD"/>
    <w:rsid w:val="00DA5147"/>
    <w:rsid w:val="00DB07AC"/>
    <w:rsid w:val="00DB0A40"/>
    <w:rsid w:val="00DD2042"/>
    <w:rsid w:val="00DD52D9"/>
    <w:rsid w:val="00DD79F5"/>
    <w:rsid w:val="00DD7F4E"/>
    <w:rsid w:val="00DE37E2"/>
    <w:rsid w:val="00DE3968"/>
    <w:rsid w:val="00DE7274"/>
    <w:rsid w:val="00DE7E4E"/>
    <w:rsid w:val="00DF2799"/>
    <w:rsid w:val="00DF4518"/>
    <w:rsid w:val="00DF7439"/>
    <w:rsid w:val="00DF74C0"/>
    <w:rsid w:val="00E034B9"/>
    <w:rsid w:val="00E055D4"/>
    <w:rsid w:val="00E06C28"/>
    <w:rsid w:val="00E0702B"/>
    <w:rsid w:val="00E07410"/>
    <w:rsid w:val="00E13BC6"/>
    <w:rsid w:val="00E13DEC"/>
    <w:rsid w:val="00E17410"/>
    <w:rsid w:val="00E176D7"/>
    <w:rsid w:val="00E2147F"/>
    <w:rsid w:val="00E219B9"/>
    <w:rsid w:val="00E26B9E"/>
    <w:rsid w:val="00E27A4C"/>
    <w:rsid w:val="00E302AD"/>
    <w:rsid w:val="00E32D89"/>
    <w:rsid w:val="00E42EFD"/>
    <w:rsid w:val="00E45C52"/>
    <w:rsid w:val="00E538C3"/>
    <w:rsid w:val="00E5399A"/>
    <w:rsid w:val="00E5472D"/>
    <w:rsid w:val="00E56484"/>
    <w:rsid w:val="00E56D4F"/>
    <w:rsid w:val="00E6542D"/>
    <w:rsid w:val="00E667A5"/>
    <w:rsid w:val="00E725CA"/>
    <w:rsid w:val="00E72CD1"/>
    <w:rsid w:val="00E8651D"/>
    <w:rsid w:val="00E87FAD"/>
    <w:rsid w:val="00E9298F"/>
    <w:rsid w:val="00EA042E"/>
    <w:rsid w:val="00EB15F1"/>
    <w:rsid w:val="00EB2118"/>
    <w:rsid w:val="00EB7E45"/>
    <w:rsid w:val="00EC0E00"/>
    <w:rsid w:val="00EC14C0"/>
    <w:rsid w:val="00EC3B35"/>
    <w:rsid w:val="00EC7A6A"/>
    <w:rsid w:val="00ED1B0E"/>
    <w:rsid w:val="00ED6394"/>
    <w:rsid w:val="00ED7752"/>
    <w:rsid w:val="00EE04AF"/>
    <w:rsid w:val="00EE1916"/>
    <w:rsid w:val="00EE24D5"/>
    <w:rsid w:val="00EE443B"/>
    <w:rsid w:val="00EE537D"/>
    <w:rsid w:val="00EE5CC3"/>
    <w:rsid w:val="00EF26FE"/>
    <w:rsid w:val="00EF3D56"/>
    <w:rsid w:val="00EF4F82"/>
    <w:rsid w:val="00EF5C74"/>
    <w:rsid w:val="00EF7AB9"/>
    <w:rsid w:val="00F00E11"/>
    <w:rsid w:val="00F01E62"/>
    <w:rsid w:val="00F06E05"/>
    <w:rsid w:val="00F13993"/>
    <w:rsid w:val="00F14925"/>
    <w:rsid w:val="00F15325"/>
    <w:rsid w:val="00F1645A"/>
    <w:rsid w:val="00F16A3D"/>
    <w:rsid w:val="00F21F00"/>
    <w:rsid w:val="00F23FFC"/>
    <w:rsid w:val="00F247F3"/>
    <w:rsid w:val="00F24CC8"/>
    <w:rsid w:val="00F27B57"/>
    <w:rsid w:val="00F35A5B"/>
    <w:rsid w:val="00F3796D"/>
    <w:rsid w:val="00F43913"/>
    <w:rsid w:val="00F51374"/>
    <w:rsid w:val="00F6040A"/>
    <w:rsid w:val="00F633C7"/>
    <w:rsid w:val="00F6447F"/>
    <w:rsid w:val="00F64B1B"/>
    <w:rsid w:val="00F74FBA"/>
    <w:rsid w:val="00F75B91"/>
    <w:rsid w:val="00F82424"/>
    <w:rsid w:val="00F83A55"/>
    <w:rsid w:val="00F85516"/>
    <w:rsid w:val="00F9346B"/>
    <w:rsid w:val="00F93616"/>
    <w:rsid w:val="00F96DD0"/>
    <w:rsid w:val="00FA199A"/>
    <w:rsid w:val="00FA4335"/>
    <w:rsid w:val="00FB06F8"/>
    <w:rsid w:val="00FB3278"/>
    <w:rsid w:val="00FB4E0E"/>
    <w:rsid w:val="00FC2D31"/>
    <w:rsid w:val="00FC4960"/>
    <w:rsid w:val="00FC4B46"/>
    <w:rsid w:val="00FC58FE"/>
    <w:rsid w:val="00FD008E"/>
    <w:rsid w:val="00FD796A"/>
    <w:rsid w:val="00FD7A3E"/>
    <w:rsid w:val="00FE3B7E"/>
    <w:rsid w:val="00FE3F95"/>
    <w:rsid w:val="00FE4F90"/>
    <w:rsid w:val="00FE7D89"/>
    <w:rsid w:val="00FF0FF1"/>
    <w:rsid w:val="00FF2594"/>
    <w:rsid w:val="00FF38E5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0453B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C76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8F713B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4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408C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92408C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1C1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C1246"/>
  </w:style>
  <w:style w:type="paragraph" w:styleId="Alatunniste">
    <w:name w:val="footer"/>
    <w:basedOn w:val="Normaali"/>
    <w:link w:val="AlatunnisteChar"/>
    <w:uiPriority w:val="99"/>
    <w:unhideWhenUsed/>
    <w:rsid w:val="001C1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C1246"/>
  </w:style>
  <w:style w:type="paragraph" w:styleId="Eivli">
    <w:name w:val="No Spacing"/>
    <w:uiPriority w:val="1"/>
    <w:qFormat/>
    <w:rsid w:val="00094743"/>
    <w:pPr>
      <w:spacing w:after="0" w:line="240" w:lineRule="auto"/>
    </w:pPr>
  </w:style>
  <w:style w:type="character" w:styleId="Sivunumero">
    <w:name w:val="page number"/>
    <w:basedOn w:val="Kappaleenoletusfontti"/>
    <w:semiHidden/>
    <w:rsid w:val="008363A0"/>
  </w:style>
  <w:style w:type="paragraph" w:customStyle="1" w:styleId="STMnormaali">
    <w:name w:val="STM normaali"/>
    <w:rsid w:val="008363A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sid w:val="00B701D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B701DA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B701DA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701D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701DA"/>
    <w:rPr>
      <w:b/>
      <w:bCs/>
      <w:sz w:val="20"/>
      <w:szCs w:val="20"/>
    </w:rPr>
  </w:style>
  <w:style w:type="paragraph" w:styleId="NormaaliWWW">
    <w:name w:val="Normal (Web)"/>
    <w:basedOn w:val="Normaali"/>
    <w:uiPriority w:val="99"/>
    <w:unhideWhenUsed/>
    <w:rsid w:val="00042B3E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sz w:val="24"/>
      <w:szCs w:val="24"/>
      <w:lang w:eastAsia="fi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042B3E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042B3E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042B3E"/>
    <w:rPr>
      <w:vertAlign w:val="superscript"/>
    </w:rPr>
  </w:style>
  <w:style w:type="paragraph" w:styleId="Leipteksti">
    <w:name w:val="Body Text"/>
    <w:link w:val="LeiptekstiChar"/>
    <w:uiPriority w:val="99"/>
    <w:unhideWhenUsed/>
    <w:qFormat/>
    <w:rsid w:val="00016E6D"/>
    <w:pPr>
      <w:spacing w:after="240" w:line="240" w:lineRule="auto"/>
      <w:ind w:right="2268"/>
      <w:jc w:val="both"/>
    </w:pPr>
    <w:rPr>
      <w:rFonts w:ascii="Arial" w:hAnsi="Arial" w:cs="Arial"/>
      <w:sz w:val="18"/>
    </w:rPr>
  </w:style>
  <w:style w:type="character" w:customStyle="1" w:styleId="LeiptekstiChar">
    <w:name w:val="Leipäteksti Char"/>
    <w:basedOn w:val="Kappaleenoletusfontti"/>
    <w:link w:val="Leipteksti"/>
    <w:uiPriority w:val="99"/>
    <w:rsid w:val="00016E6D"/>
    <w:rPr>
      <w:rFonts w:ascii="Arial" w:hAnsi="Arial" w:cs="Arial"/>
      <w:sz w:val="18"/>
    </w:rPr>
  </w:style>
  <w:style w:type="paragraph" w:styleId="Muutos">
    <w:name w:val="Revision"/>
    <w:hidden/>
    <w:uiPriority w:val="99"/>
    <w:semiHidden/>
    <w:rsid w:val="001A62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5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666627D7115588468AC9D7C9C4565798" ma:contentTypeVersion="3" ma:contentTypeDescription="Kampus asiakirja" ma:contentTypeScope="" ma:versionID="60fadce83ad13177daa619c981098981">
  <xsd:schema xmlns:xsd="http://www.w3.org/2001/XMLSchema" xmlns:xs="http://www.w3.org/2001/XMLSchema" xmlns:p="http://schemas.microsoft.com/office/2006/metadata/properties" xmlns:ns2="c138b538-c2fd-4cca-8c26-6e4e32e5a042" targetNamespace="http://schemas.microsoft.com/office/2006/metadata/properties" ma:root="true" ma:fieldsID="b4ce4679ac9a398aced3ce1abf64f884" ns2:_=""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784e934-f3a5-46bb-84a1-4f38c12b1c99}" ma:internalName="TaxCatchAll" ma:showField="CatchAllData" ma:web="8a06fe0f-a256-4f91-88f7-e480c8651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784e934-f3a5-46bb-84a1-4f38c12b1c99}" ma:internalName="TaxCatchAllLabel" ma:readOnly="true" ma:showField="CatchAllDataLabel" ma:web="8a06fe0f-a256-4f91-88f7-e480c8651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/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FC78F-B137-42FC-8A10-0F2FCC7DC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C5310F-8772-4C7D-9CE7-B9258E7AB9D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24A2058-7F81-44F0-BAEA-42ABD6B75D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8260B2-F66A-4993-9F71-D98E9B66E56D}">
  <ds:schemaRefs>
    <ds:schemaRef ds:uri="http://schemas.microsoft.com/office/2006/metadata/properties"/>
    <ds:schemaRef ds:uri="http://schemas.microsoft.com/office/infopath/2007/PartnerControls"/>
    <ds:schemaRef ds:uri="c138b538-c2fd-4cca-8c26-6e4e32e5a042"/>
  </ds:schemaRefs>
</ds:datastoreItem>
</file>

<file path=customXml/itemProps5.xml><?xml version="1.0" encoding="utf-8"?>
<ds:datastoreItem xmlns:ds="http://schemas.openxmlformats.org/officeDocument/2006/customXml" ds:itemID="{9CE4A48A-CD37-4482-A487-AE20086BE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3244</Characters>
  <Application>Microsoft Office Word</Application>
  <DocSecurity>0</DocSecurity>
  <Lines>27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2019-02-13T14:02:00Z</dcterms:created>
  <dcterms:modified xsi:type="dcterms:W3CDTF">2019-02-13T14:02:00Z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0x010100B5FAB64B6C204DD994D3FAC0C34E2BFF00666627D7115588468AC9D7C9C4565798</vt:lpwstr>
  </property>
  <property fmtid="{D5CDD505-2E9C-101B-9397-08002B2CF9AE}" pid="3" name="_NewReviewCycle">
    <vt:lpwstr/>
  </property>
  <property fmtid="{D5CDD505-2E9C-101B-9397-08002B2CF9AE}" pid="4" name="KampusOrganization">
    <vt:lpwstr/>
  </property>
  <property fmtid="{D5CDD505-2E9C-101B-9397-08002B2CF9AE}" pid="5" name="KampusKeywords">
    <vt:lpwstr/>
  </property>
</Properties>
</file>