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7E7" w:rsidRPr="003F0C7E" w:rsidRDefault="006E77E7" w:rsidP="006E77E7">
      <w:pPr>
        <w:keepNext/>
        <w:keepLines/>
        <w:spacing w:before="200" w:after="0"/>
        <w:outlineLvl w:val="1"/>
        <w:rPr>
          <w:rFonts w:ascii="Calibri" w:eastAsiaTheme="majorEastAsia" w:hAnsi="Calibri" w:cstheme="majorBidi"/>
          <w:b/>
          <w:bCs/>
          <w:color w:val="1F497D" w:themeColor="text2"/>
          <w:sz w:val="28"/>
          <w:szCs w:val="26"/>
        </w:rPr>
      </w:pPr>
      <w:r w:rsidRPr="008D0638">
        <w:rPr>
          <w:rFonts w:ascii="Calibri" w:eastAsiaTheme="majorEastAsia" w:hAnsi="Calibri" w:cstheme="majorBidi"/>
          <w:b/>
          <w:bCs/>
          <w:color w:val="1F497D" w:themeColor="text2"/>
          <w:sz w:val="28"/>
          <w:szCs w:val="26"/>
        </w:rPr>
        <w:t>Yhteistyö sotkamolaisittain</w:t>
      </w:r>
    </w:p>
    <w:p w:rsidR="006E77E7" w:rsidRPr="008D0638" w:rsidRDefault="006E77E7" w:rsidP="006E77E7">
      <w:pPr>
        <w:spacing w:after="160" w:line="259" w:lineRule="auto"/>
        <w:rPr>
          <w:rFonts w:ascii="Calibri" w:eastAsia="Calibri" w:hAnsi="Calibri" w:cs="Times New Roman"/>
          <w:b/>
          <w:i/>
          <w:color w:val="1F497D" w:themeColor="text2"/>
          <w:sz w:val="24"/>
          <w:szCs w:val="24"/>
        </w:rPr>
      </w:pPr>
      <w:r w:rsidRPr="008D0638">
        <w:rPr>
          <w:rFonts w:ascii="Calibri" w:eastAsia="Calibri" w:hAnsi="Calibri" w:cs="Times New Roman"/>
          <w:b/>
          <w:i/>
          <w:color w:val="1F497D" w:themeColor="text2"/>
          <w:sz w:val="24"/>
          <w:szCs w:val="24"/>
        </w:rPr>
        <w:br/>
        <w:t>YHTEISTYÖ HUOLTAJIEN KANSSA</w:t>
      </w:r>
    </w:p>
    <w:p w:rsidR="006E77E7" w:rsidRPr="008D0638" w:rsidRDefault="006E77E7" w:rsidP="006E77E7">
      <w:pPr>
        <w:spacing w:after="160" w:line="259" w:lineRule="auto"/>
        <w:jc w:val="both"/>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Yhteistyö huoltajien kanssa on avointa, luottamuksellista ja sitoutunutta. Sen tavoitteena on turvata perusta lapsen terveelle kasvulle ja kehitykselle.  Huoltajille tulee antaa mahdollisuus tulla kuulluksi lapsen asioissa ja osallistua toiminnan suunnitteluun ja kehittämiseen yhdessä henkilöstön ja lasten kanssa.  Varhaiskasvatuksen henkilöstö on vastuussa yhteistyön rakentamisesta huoltajien kanssa.  </w:t>
      </w:r>
    </w:p>
    <w:p w:rsidR="006E77E7" w:rsidRPr="008D0638" w:rsidRDefault="006E77E7" w:rsidP="006E77E7">
      <w:pPr>
        <w:spacing w:after="160" w:line="259" w:lineRule="auto"/>
        <w:jc w:val="both"/>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Henkilöstön ja vanhempien keskinäinen tutustuminen on lapsen hyvinvoinnin kannalta merkityksellistä. Kun lapselle tärkeät aikuiset tuntevat toisensa, on lapsen asioihin helpompi tarttua.</w:t>
      </w:r>
    </w:p>
    <w:p w:rsidR="006E77E7" w:rsidRPr="008D0638" w:rsidRDefault="006E77E7" w:rsidP="006E77E7">
      <w:pPr>
        <w:spacing w:after="160" w:line="259" w:lineRule="auto"/>
        <w:jc w:val="both"/>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Yhteistyö rakentuu monenlaisista keskusteluista ja käytännöistä:</w:t>
      </w:r>
    </w:p>
    <w:p w:rsidR="006E77E7" w:rsidRPr="008D0638" w:rsidRDefault="006E77E7" w:rsidP="006E77E7">
      <w:pPr>
        <w:numPr>
          <w:ilvl w:val="0"/>
          <w:numId w:val="1"/>
        </w:numPr>
        <w:spacing w:after="160" w:line="259" w:lineRule="auto"/>
        <w:jc w:val="both"/>
        <w:rPr>
          <w:rFonts w:ascii="Calibri" w:eastAsia="Calibri" w:hAnsi="Calibri" w:cs="Times New Roman"/>
          <w:color w:val="1F497D" w:themeColor="text2"/>
          <w:sz w:val="24"/>
          <w:szCs w:val="24"/>
        </w:rPr>
      </w:pPr>
      <w:r w:rsidRPr="008D0638">
        <w:rPr>
          <w:rFonts w:ascii="Calibri" w:eastAsia="Calibri" w:hAnsi="Calibri" w:cs="Times New Roman"/>
          <w:i/>
          <w:color w:val="1F497D" w:themeColor="text2"/>
          <w:sz w:val="24"/>
          <w:szCs w:val="24"/>
        </w:rPr>
        <w:t>Tutustumiskäynnit:</w:t>
      </w:r>
      <w:r w:rsidRPr="008D0638">
        <w:rPr>
          <w:rFonts w:ascii="Calibri" w:eastAsia="Calibri" w:hAnsi="Calibri" w:cs="Times New Roman"/>
          <w:color w:val="1F497D" w:themeColor="text2"/>
          <w:sz w:val="24"/>
          <w:szCs w:val="24"/>
        </w:rPr>
        <w:t xml:space="preserve"> Hoitosuhteen alkaessa huoltajien kanssa käydään läpi käytännöt, täytetään palvelusopimus ja lomakkeet sekä sovitaan lapsen ja perheen tutustumiskäynnit lapsen tarpeita vastaavaksi. </w:t>
      </w:r>
    </w:p>
    <w:p w:rsidR="006E77E7" w:rsidRPr="008D0638" w:rsidRDefault="006E77E7" w:rsidP="006E77E7">
      <w:pPr>
        <w:numPr>
          <w:ilvl w:val="0"/>
          <w:numId w:val="1"/>
        </w:numPr>
        <w:spacing w:after="160" w:line="259" w:lineRule="auto"/>
        <w:jc w:val="both"/>
        <w:rPr>
          <w:rFonts w:ascii="Calibri" w:eastAsia="Calibri" w:hAnsi="Calibri" w:cs="Times New Roman"/>
          <w:color w:val="1F497D" w:themeColor="text2"/>
          <w:sz w:val="24"/>
          <w:szCs w:val="24"/>
        </w:rPr>
      </w:pPr>
      <w:r w:rsidRPr="008D0638">
        <w:rPr>
          <w:rFonts w:ascii="Calibri" w:eastAsia="Calibri" w:hAnsi="Calibri" w:cs="Times New Roman"/>
          <w:i/>
          <w:color w:val="1F497D" w:themeColor="text2"/>
          <w:sz w:val="24"/>
          <w:szCs w:val="24"/>
        </w:rPr>
        <w:t>Varhaiskasvatussuunnitelman laatiminen (vasukeskustelu):</w:t>
      </w:r>
      <w:r w:rsidRPr="008D0638">
        <w:rPr>
          <w:rFonts w:ascii="Calibri" w:eastAsia="Calibri" w:hAnsi="Calibri" w:cs="Times New Roman"/>
          <w:color w:val="1F497D" w:themeColor="text2"/>
          <w:sz w:val="24"/>
          <w:szCs w:val="24"/>
        </w:rPr>
        <w:t xml:space="preserve"> Laaditaan kaikille pian hoitosuhteen alkamisen jälkeen, myös lyhyissä hoitosuhteissa. Keskustelut pidetään syksyisin ja keväisin sekä päivitetään tarvittaessa. Huoltajille tarjotaan mahdollisuutta pitää keskustelut kotona. Keskustelu pidetään tarvittaessa tulkin avustuksella.</w:t>
      </w:r>
    </w:p>
    <w:p w:rsidR="006E77E7" w:rsidRPr="008D0638" w:rsidRDefault="006E77E7" w:rsidP="006E77E7">
      <w:pPr>
        <w:numPr>
          <w:ilvl w:val="0"/>
          <w:numId w:val="1"/>
        </w:numPr>
        <w:spacing w:after="160" w:line="259" w:lineRule="auto"/>
        <w:jc w:val="both"/>
        <w:rPr>
          <w:rFonts w:ascii="Calibri" w:eastAsia="Calibri" w:hAnsi="Calibri" w:cs="Times New Roman"/>
          <w:color w:val="1F497D" w:themeColor="text2"/>
          <w:sz w:val="24"/>
          <w:szCs w:val="24"/>
        </w:rPr>
      </w:pPr>
      <w:r w:rsidRPr="008D0638">
        <w:rPr>
          <w:rFonts w:ascii="Calibri" w:eastAsia="Calibri" w:hAnsi="Calibri" w:cs="Times New Roman"/>
          <w:i/>
          <w:color w:val="1F497D" w:themeColor="text2"/>
          <w:sz w:val="24"/>
          <w:szCs w:val="24"/>
        </w:rPr>
        <w:t>Viestintäkanavat:</w:t>
      </w:r>
      <w:r w:rsidRPr="008D0638">
        <w:rPr>
          <w:rFonts w:ascii="Calibri" w:eastAsia="Calibri" w:hAnsi="Calibri" w:cs="Times New Roman"/>
          <w:color w:val="1F497D" w:themeColor="text2"/>
          <w:sz w:val="24"/>
          <w:szCs w:val="24"/>
        </w:rPr>
        <w:t xml:space="preserve"> Varhaiskasvatuksen tiedotteet koteihin tulevat pääsääntöisesti sähköisessä muodossa, esim. sähköposti ja </w:t>
      </w:r>
      <w:proofErr w:type="spellStart"/>
      <w:r w:rsidRPr="008D0638">
        <w:rPr>
          <w:rFonts w:ascii="Calibri" w:eastAsia="Calibri" w:hAnsi="Calibri" w:cs="Times New Roman"/>
          <w:color w:val="1F497D" w:themeColor="text2"/>
          <w:sz w:val="24"/>
          <w:szCs w:val="24"/>
        </w:rPr>
        <w:t>wilma</w:t>
      </w:r>
      <w:proofErr w:type="spellEnd"/>
      <w:r w:rsidRPr="008D0638">
        <w:rPr>
          <w:rFonts w:ascii="Calibri" w:eastAsia="Calibri" w:hAnsi="Calibri" w:cs="Times New Roman"/>
          <w:color w:val="1F497D" w:themeColor="text2"/>
          <w:sz w:val="24"/>
          <w:szCs w:val="24"/>
        </w:rPr>
        <w:t xml:space="preserve">. Muita viestintäkanavia ovat paperiset tiedotteet, ryhmien ilmoitustaulut, puhelin ja </w:t>
      </w:r>
      <w:proofErr w:type="spellStart"/>
      <w:r w:rsidRPr="008D0638">
        <w:rPr>
          <w:rFonts w:ascii="Calibri" w:eastAsia="Calibri" w:hAnsi="Calibri" w:cs="Times New Roman"/>
          <w:color w:val="1F497D" w:themeColor="text2"/>
          <w:sz w:val="24"/>
          <w:szCs w:val="24"/>
        </w:rPr>
        <w:t>blogit</w:t>
      </w:r>
      <w:proofErr w:type="spellEnd"/>
      <w:r w:rsidRPr="008D0638">
        <w:rPr>
          <w:rFonts w:ascii="Calibri" w:eastAsia="Calibri" w:hAnsi="Calibri" w:cs="Times New Roman"/>
          <w:color w:val="1F497D" w:themeColor="text2"/>
          <w:sz w:val="24"/>
          <w:szCs w:val="24"/>
        </w:rPr>
        <w:t xml:space="preserve">.  </w:t>
      </w:r>
    </w:p>
    <w:p w:rsidR="006E77E7" w:rsidRPr="008D0638" w:rsidRDefault="006E77E7" w:rsidP="006E77E7">
      <w:pPr>
        <w:numPr>
          <w:ilvl w:val="0"/>
          <w:numId w:val="1"/>
        </w:numPr>
        <w:spacing w:after="160" w:line="259" w:lineRule="auto"/>
        <w:jc w:val="both"/>
        <w:rPr>
          <w:rFonts w:ascii="Calibri" w:eastAsia="Calibri" w:hAnsi="Calibri" w:cs="Times New Roman"/>
          <w:color w:val="1F497D" w:themeColor="text2"/>
          <w:sz w:val="24"/>
          <w:szCs w:val="24"/>
        </w:rPr>
      </w:pPr>
      <w:r w:rsidRPr="008D0638">
        <w:rPr>
          <w:rFonts w:ascii="Calibri" w:eastAsia="Calibri" w:hAnsi="Calibri" w:cs="Times New Roman"/>
          <w:i/>
          <w:color w:val="1F497D" w:themeColor="text2"/>
          <w:sz w:val="24"/>
          <w:szCs w:val="24"/>
        </w:rPr>
        <w:t>Vanhempainillat</w:t>
      </w:r>
      <w:r w:rsidRPr="008D0638">
        <w:rPr>
          <w:rFonts w:ascii="Calibri" w:eastAsia="Calibri" w:hAnsi="Calibri" w:cs="Times New Roman"/>
          <w:color w:val="1F497D" w:themeColor="text2"/>
          <w:sz w:val="24"/>
          <w:szCs w:val="24"/>
        </w:rPr>
        <w:t xml:space="preserve"> </w:t>
      </w:r>
    </w:p>
    <w:p w:rsidR="006E77E7" w:rsidRPr="008D0638" w:rsidRDefault="006E77E7" w:rsidP="006E77E7">
      <w:pPr>
        <w:numPr>
          <w:ilvl w:val="0"/>
          <w:numId w:val="1"/>
        </w:numPr>
        <w:spacing w:after="160" w:line="259" w:lineRule="auto"/>
        <w:jc w:val="both"/>
        <w:rPr>
          <w:rFonts w:ascii="Calibri" w:eastAsia="Calibri" w:hAnsi="Calibri" w:cs="Times New Roman"/>
          <w:color w:val="1F497D" w:themeColor="text2"/>
          <w:sz w:val="24"/>
          <w:szCs w:val="24"/>
        </w:rPr>
      </w:pPr>
      <w:r w:rsidRPr="008D0638">
        <w:rPr>
          <w:rFonts w:ascii="Calibri" w:eastAsia="Calibri" w:hAnsi="Calibri" w:cs="Times New Roman"/>
          <w:i/>
          <w:color w:val="1F497D" w:themeColor="text2"/>
          <w:sz w:val="24"/>
          <w:szCs w:val="24"/>
        </w:rPr>
        <w:t>Tärkein yhteistyön muoto on huoltajien kanssa päivittäin käytävät keskustelut.</w:t>
      </w:r>
      <w:r w:rsidRPr="008D0638">
        <w:rPr>
          <w:rFonts w:ascii="Calibri" w:eastAsia="Calibri" w:hAnsi="Calibri" w:cs="Times New Roman"/>
          <w:color w:val="1F497D" w:themeColor="text2"/>
          <w:sz w:val="24"/>
          <w:szCs w:val="24"/>
        </w:rPr>
        <w:t xml:space="preserve"> Päivittäiset keskustelut antavat mahdollisuuden tarttua lapsen asioihin.  Työntekijällä tulee olla herkkyys huomata vanhemman tarve keskustelulle. Työntekijän velvollisuus on järjestää siihen rauhallinen aika ja paikka. </w:t>
      </w:r>
    </w:p>
    <w:p w:rsidR="006E77E7" w:rsidRPr="008D0638" w:rsidRDefault="006E77E7" w:rsidP="006E77E7">
      <w:pPr>
        <w:spacing w:after="160" w:line="259" w:lineRule="auto"/>
        <w:jc w:val="both"/>
        <w:rPr>
          <w:rFonts w:ascii="Calibri" w:eastAsia="Calibri" w:hAnsi="Calibri" w:cs="Times New Roman"/>
          <w:b/>
          <w:i/>
          <w:color w:val="1F497D" w:themeColor="text2"/>
          <w:sz w:val="24"/>
          <w:szCs w:val="24"/>
        </w:rPr>
      </w:pPr>
    </w:p>
    <w:p w:rsidR="006E77E7" w:rsidRPr="008D0638" w:rsidRDefault="006E77E7" w:rsidP="006E77E7">
      <w:pPr>
        <w:spacing w:after="160" w:line="259" w:lineRule="auto"/>
        <w:jc w:val="both"/>
        <w:rPr>
          <w:rFonts w:ascii="Calibri" w:eastAsia="Calibri" w:hAnsi="Calibri" w:cs="Times New Roman"/>
          <w:color w:val="1F497D" w:themeColor="text2"/>
          <w:sz w:val="24"/>
          <w:szCs w:val="24"/>
        </w:rPr>
      </w:pPr>
      <w:r w:rsidRPr="008D0638">
        <w:rPr>
          <w:rFonts w:ascii="Calibri" w:eastAsia="Calibri" w:hAnsi="Calibri" w:cs="Times New Roman"/>
          <w:b/>
          <w:i/>
          <w:color w:val="1F497D" w:themeColor="text2"/>
          <w:sz w:val="24"/>
          <w:szCs w:val="24"/>
        </w:rPr>
        <w:t>HUOLTAJIEN VERKOSTOITUMINEN</w:t>
      </w:r>
    </w:p>
    <w:p w:rsidR="006E77E7" w:rsidRPr="008D0638" w:rsidRDefault="006E77E7" w:rsidP="006E77E7">
      <w:pPr>
        <w:spacing w:after="160" w:line="259" w:lineRule="auto"/>
        <w:jc w:val="both"/>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Varhaiskasvatuksen tavoitteena on edistää huoltajien keskinäistä yhteistyötä ja verkostoitumista. Perheille ja huoltajille tarjotaan mahdollisuuksia tutustua toisiin samassa elämäntilanteessa oleviin perheisiin mm. järjestämällä yhteisiä makkaranpaistoiltoja, vanhempainiltoja, kausijuhlia ja muita tapahtumia. Varhaiskasvatus tarjoaa myös omia tilojaan perheiden keskinäiseen verkostoitumiseen. </w:t>
      </w:r>
    </w:p>
    <w:p w:rsidR="006E77E7" w:rsidRPr="008D0638" w:rsidRDefault="006E77E7" w:rsidP="006E77E7">
      <w:pPr>
        <w:spacing w:after="160" w:line="259" w:lineRule="auto"/>
        <w:jc w:val="both"/>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Sotkamossa toimii myös aktiivisia päiväkotien vanhempainyhdistyksiä. Vanhempainyhdistystoiminta on hyvä kanava päästä tutustumaan toisiin huoltajiin, jutella </w:t>
      </w:r>
      <w:r w:rsidRPr="008D0638">
        <w:rPr>
          <w:rFonts w:ascii="Calibri" w:eastAsia="Calibri" w:hAnsi="Calibri" w:cs="Times New Roman"/>
          <w:color w:val="1F497D" w:themeColor="text2"/>
          <w:sz w:val="24"/>
          <w:szCs w:val="24"/>
        </w:rPr>
        <w:lastRenderedPageBreak/>
        <w:t xml:space="preserve">ajankohtaisista varhaiskasvatukseen liittyvistä asioista sekä osallistua varhaiskasvatustoiminnan kehittämiseen ja toteuttamiseen. </w:t>
      </w:r>
    </w:p>
    <w:p w:rsidR="006E77E7" w:rsidRPr="008D0638" w:rsidRDefault="006E77E7" w:rsidP="006E77E7">
      <w:pPr>
        <w:spacing w:after="160" w:line="259" w:lineRule="auto"/>
        <w:jc w:val="both"/>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Varhaiskasvatustoiminta on huoltajille avointa. Huoltajat ovat tervetulleita seuraamaan lapsen päivää päiväkodille. Huoltajia ja muita lapsille läheisiä aikuisia kannustetaan mukaan toimintaan myös niin, että he voisivat tulla jakamaan oppejaan omalta erityisosaamisalueeltaan. </w:t>
      </w:r>
    </w:p>
    <w:p w:rsidR="006E77E7" w:rsidRPr="008D0638" w:rsidRDefault="006E77E7" w:rsidP="006E77E7">
      <w:pPr>
        <w:spacing w:after="160" w:line="259" w:lineRule="auto"/>
        <w:rPr>
          <w:rFonts w:ascii="Calibri" w:eastAsia="Calibri" w:hAnsi="Calibri" w:cs="Times New Roman"/>
          <w:color w:val="1F497D" w:themeColor="text2"/>
          <w:sz w:val="24"/>
          <w:szCs w:val="24"/>
        </w:rPr>
      </w:pPr>
    </w:p>
    <w:p w:rsidR="006E77E7" w:rsidRPr="008D0638" w:rsidRDefault="006E77E7" w:rsidP="006E77E7">
      <w:pPr>
        <w:spacing w:after="160" w:line="259" w:lineRule="auto"/>
        <w:rPr>
          <w:rFonts w:ascii="Calibri" w:eastAsia="Calibri" w:hAnsi="Calibri" w:cs="Times New Roman"/>
          <w:b/>
          <w:i/>
          <w:color w:val="1F497D" w:themeColor="text2"/>
          <w:sz w:val="24"/>
          <w:szCs w:val="24"/>
        </w:rPr>
      </w:pPr>
      <w:r w:rsidRPr="008D0638">
        <w:rPr>
          <w:rFonts w:ascii="Calibri" w:eastAsia="Calibri" w:hAnsi="Calibri" w:cs="Times New Roman"/>
          <w:b/>
          <w:i/>
          <w:color w:val="1F497D" w:themeColor="text2"/>
          <w:sz w:val="24"/>
          <w:szCs w:val="24"/>
        </w:rPr>
        <w:t>MONIALAINEN YHTEISTYÖ</w:t>
      </w:r>
    </w:p>
    <w:p w:rsidR="006E77E7" w:rsidRPr="008D0638" w:rsidRDefault="006E77E7" w:rsidP="006E77E7">
      <w:pPr>
        <w:spacing w:after="160" w:line="259" w:lineRule="auto"/>
        <w:jc w:val="both"/>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Varhaiskasvatuslaki velvoittaa kuntaa luomaan tarvittavat rakenteet yhteistyölle. Sotkamossa on pienenä paikkakuntana tähän hyvät mahdollisuudet, koska monet yhteistyötahot ovat jo entuudestaan tuttuja toisilleen. Sotkamon kunnassa toteutetaan monialaista yhteistyötä kunnan sisäisesti, sosiaali- ja terveyspalvelujen sekä eri urheiluseurojen, yhteisöjen ja järjestöjen kanssa. Monialaisen yhteistyön tulee olla suunnitelmallista. Jokaisessa varhaiskasvatusyksikössä tulee olla henkilö, joka koordinoi eri tahojen (esimerkiksi urheiluseurat, järjestöt ja yhdistykset) kanssa tehtävää yhteistyötä. Monialaisen yhteistyön tavoitteena on varhaiskasvatuksen toiminnan järjestäminen lasten tarpeita vastaaviksi. </w:t>
      </w:r>
    </w:p>
    <w:p w:rsidR="006E77E7" w:rsidRPr="008D0638" w:rsidRDefault="006E77E7" w:rsidP="006E77E7">
      <w:pPr>
        <w:spacing w:after="160" w:line="259" w:lineRule="auto"/>
        <w:rPr>
          <w:rFonts w:ascii="Calibri" w:eastAsia="Calibri" w:hAnsi="Calibri" w:cs="Times New Roman"/>
          <w:color w:val="1F497D" w:themeColor="text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6E77E7" w:rsidRPr="008D0638" w:rsidTr="006C3803">
        <w:tc>
          <w:tcPr>
            <w:tcW w:w="4889" w:type="dxa"/>
            <w:tcBorders>
              <w:right w:val="nil"/>
            </w:tcBorders>
            <w:shd w:val="clear" w:color="auto" w:fill="auto"/>
          </w:tcPr>
          <w:p w:rsidR="006E77E7" w:rsidRPr="008D0638" w:rsidRDefault="006E77E7" w:rsidP="006C3803">
            <w:pPr>
              <w:spacing w:after="160" w:line="259" w:lineRule="auto"/>
              <w:rPr>
                <w:rFonts w:ascii="Calibri" w:eastAsia="Calibri" w:hAnsi="Calibri" w:cs="Times New Roman"/>
                <w:b/>
                <w:color w:val="1F497D" w:themeColor="text2"/>
                <w:sz w:val="24"/>
                <w:szCs w:val="24"/>
              </w:rPr>
            </w:pPr>
            <w:r w:rsidRPr="008D0638">
              <w:rPr>
                <w:rFonts w:ascii="Calibri" w:eastAsia="Calibri" w:hAnsi="Calibri" w:cs="Times New Roman"/>
                <w:b/>
                <w:color w:val="1F497D" w:themeColor="text2"/>
                <w:sz w:val="24"/>
                <w:szCs w:val="24"/>
              </w:rPr>
              <w:t>Kunnan sisäiset yhteistyötahot</w:t>
            </w:r>
          </w:p>
        </w:tc>
        <w:tc>
          <w:tcPr>
            <w:tcW w:w="4889" w:type="dxa"/>
            <w:tcBorders>
              <w:left w:val="nil"/>
              <w:bottom w:val="single" w:sz="4" w:space="0" w:color="auto"/>
            </w:tcBorders>
            <w:shd w:val="clear" w:color="auto" w:fill="auto"/>
          </w:tcPr>
          <w:p w:rsidR="006E77E7" w:rsidRPr="008D0638" w:rsidRDefault="006E77E7" w:rsidP="006C3803">
            <w:pPr>
              <w:spacing w:after="160" w:line="259" w:lineRule="auto"/>
              <w:rPr>
                <w:rFonts w:ascii="Calibri" w:eastAsia="Calibri" w:hAnsi="Calibri" w:cs="Times New Roman"/>
                <w:color w:val="1F497D" w:themeColor="text2"/>
                <w:sz w:val="24"/>
                <w:szCs w:val="24"/>
              </w:rPr>
            </w:pPr>
          </w:p>
        </w:tc>
      </w:tr>
      <w:tr w:rsidR="006E77E7" w:rsidRPr="008D0638" w:rsidTr="006C3803">
        <w:tc>
          <w:tcPr>
            <w:tcW w:w="4889" w:type="dxa"/>
            <w:shd w:val="clear" w:color="auto" w:fill="auto"/>
          </w:tcPr>
          <w:p w:rsidR="006E77E7" w:rsidRPr="008D0638" w:rsidRDefault="006E77E7" w:rsidP="006C3803">
            <w:pPr>
              <w:tabs>
                <w:tab w:val="left" w:pos="3040"/>
              </w:tabs>
              <w:spacing w:after="160" w:line="259" w:lineRule="auto"/>
              <w:rPr>
                <w:rFonts w:ascii="Calibri" w:eastAsia="Calibri" w:hAnsi="Calibri" w:cs="Times New Roman"/>
                <w:b/>
                <w:color w:val="1F497D" w:themeColor="text2"/>
                <w:sz w:val="24"/>
                <w:szCs w:val="24"/>
              </w:rPr>
            </w:pPr>
            <w:r w:rsidRPr="008D0638">
              <w:rPr>
                <w:rFonts w:ascii="Calibri" w:eastAsia="Calibri" w:hAnsi="Calibri" w:cs="Times New Roman"/>
                <w:b/>
                <w:color w:val="1F497D" w:themeColor="text2"/>
                <w:sz w:val="24"/>
                <w:szCs w:val="24"/>
              </w:rPr>
              <w:t>Yhteistyötaho</w:t>
            </w:r>
            <w:r w:rsidRPr="008D0638">
              <w:rPr>
                <w:rFonts w:ascii="Calibri" w:eastAsia="Calibri" w:hAnsi="Calibri" w:cs="Times New Roman"/>
                <w:b/>
                <w:color w:val="1F497D" w:themeColor="text2"/>
                <w:sz w:val="24"/>
                <w:szCs w:val="24"/>
              </w:rPr>
              <w:tab/>
            </w:r>
          </w:p>
        </w:tc>
        <w:tc>
          <w:tcPr>
            <w:tcW w:w="4889" w:type="dxa"/>
            <w:tcBorders>
              <w:top w:val="single" w:sz="4" w:space="0" w:color="auto"/>
            </w:tcBorders>
            <w:shd w:val="clear" w:color="auto" w:fill="auto"/>
          </w:tcPr>
          <w:p w:rsidR="006E77E7" w:rsidRPr="008D0638" w:rsidRDefault="006E77E7" w:rsidP="006C3803">
            <w:pPr>
              <w:spacing w:after="160" w:line="259" w:lineRule="auto"/>
              <w:rPr>
                <w:rFonts w:ascii="Calibri" w:eastAsia="Calibri" w:hAnsi="Calibri" w:cs="Times New Roman"/>
                <w:b/>
                <w:color w:val="1F497D" w:themeColor="text2"/>
                <w:sz w:val="24"/>
                <w:szCs w:val="24"/>
              </w:rPr>
            </w:pPr>
            <w:r w:rsidRPr="008D0638">
              <w:rPr>
                <w:rFonts w:ascii="Calibri" w:eastAsia="Calibri" w:hAnsi="Calibri" w:cs="Times New Roman"/>
                <w:b/>
                <w:color w:val="1F497D" w:themeColor="text2"/>
                <w:sz w:val="24"/>
                <w:szCs w:val="24"/>
              </w:rPr>
              <w:t>Millaista yhteistyö on?</w:t>
            </w:r>
          </w:p>
        </w:tc>
      </w:tr>
      <w:tr w:rsidR="006E77E7" w:rsidRPr="008D0638" w:rsidTr="006C3803">
        <w:trPr>
          <w:trHeight w:val="1319"/>
        </w:trPr>
        <w:tc>
          <w:tcPr>
            <w:tcW w:w="4889" w:type="dxa"/>
            <w:shd w:val="clear" w:color="auto" w:fill="auto"/>
          </w:tcPr>
          <w:p w:rsidR="006E77E7" w:rsidRPr="008D0638" w:rsidRDefault="006E77E7" w:rsidP="006C3803">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Ateria- ja puhtaanapito</w:t>
            </w:r>
          </w:p>
        </w:tc>
        <w:tc>
          <w:tcPr>
            <w:tcW w:w="4889" w:type="dxa"/>
            <w:shd w:val="clear" w:color="auto" w:fill="auto"/>
          </w:tcPr>
          <w:p w:rsidR="006E77E7" w:rsidRPr="008D0638" w:rsidRDefault="006E77E7" w:rsidP="006E77E7">
            <w:pPr>
              <w:numPr>
                <w:ilvl w:val="0"/>
                <w:numId w:val="10"/>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Ruoka päiväkoteihin tulee keskuskeittiöltä. Jokaisessa päiväkodissa työskentelee ruokapalveluntyöntekijä. Päiväkotien puhtaanapidosta vastaavat siistijät. </w:t>
            </w:r>
          </w:p>
        </w:tc>
      </w:tr>
      <w:tr w:rsidR="006E77E7" w:rsidRPr="008D0638" w:rsidTr="006C3803">
        <w:trPr>
          <w:trHeight w:val="557"/>
        </w:trPr>
        <w:tc>
          <w:tcPr>
            <w:tcW w:w="4889" w:type="dxa"/>
            <w:shd w:val="clear" w:color="auto" w:fill="auto"/>
          </w:tcPr>
          <w:p w:rsidR="006E77E7" w:rsidRPr="008D0638" w:rsidRDefault="006E77E7" w:rsidP="006C3803">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Liikunta- ja puistotoimi</w:t>
            </w:r>
          </w:p>
        </w:tc>
        <w:tc>
          <w:tcPr>
            <w:tcW w:w="4889" w:type="dxa"/>
            <w:shd w:val="clear" w:color="auto" w:fill="auto"/>
          </w:tcPr>
          <w:p w:rsidR="006E77E7" w:rsidRPr="008D0638" w:rsidRDefault="006E77E7" w:rsidP="006E77E7">
            <w:pPr>
              <w:numPr>
                <w:ilvl w:val="0"/>
                <w:numId w:val="9"/>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Liikuntatoimi mahdollistaa muun muassa lasten uimakoulut, jäähallin käytön sekä eri liikunta-alueiden hyödyntämisen varhaiskasvatuksessa. </w:t>
            </w:r>
          </w:p>
          <w:p w:rsidR="006E77E7" w:rsidRPr="008D0638" w:rsidRDefault="006E77E7" w:rsidP="006E77E7">
            <w:pPr>
              <w:numPr>
                <w:ilvl w:val="0"/>
                <w:numId w:val="9"/>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Puistopuoli huolehtii päiväkotien piha-alueiden ja liikunta-alueiden siisteydestä ja turvallisuudesta. </w:t>
            </w:r>
          </w:p>
        </w:tc>
      </w:tr>
      <w:tr w:rsidR="006E77E7" w:rsidRPr="008D0638" w:rsidTr="006C3803">
        <w:tc>
          <w:tcPr>
            <w:tcW w:w="4889" w:type="dxa"/>
            <w:shd w:val="clear" w:color="auto" w:fill="auto"/>
          </w:tcPr>
          <w:p w:rsidR="006E77E7" w:rsidRPr="008D0638" w:rsidRDefault="006E77E7" w:rsidP="006C3803">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Tekninen toimi</w:t>
            </w:r>
          </w:p>
        </w:tc>
        <w:tc>
          <w:tcPr>
            <w:tcW w:w="4889" w:type="dxa"/>
            <w:shd w:val="clear" w:color="auto" w:fill="auto"/>
          </w:tcPr>
          <w:p w:rsidR="006E77E7" w:rsidRPr="008D0638" w:rsidRDefault="006E77E7" w:rsidP="006E77E7">
            <w:pPr>
              <w:numPr>
                <w:ilvl w:val="0"/>
                <w:numId w:val="11"/>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Tekninen puoli huoltaa päiväkotien tiloja sekä huolehtii piha-alueiden kunnossapidosta. </w:t>
            </w:r>
          </w:p>
        </w:tc>
      </w:tr>
      <w:tr w:rsidR="006E77E7" w:rsidRPr="008D0638" w:rsidTr="006C3803">
        <w:tc>
          <w:tcPr>
            <w:tcW w:w="4889" w:type="dxa"/>
            <w:shd w:val="clear" w:color="auto" w:fill="auto"/>
          </w:tcPr>
          <w:p w:rsidR="006E77E7" w:rsidRPr="008D0638" w:rsidRDefault="006E77E7" w:rsidP="006C3803">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Peruskoulut</w:t>
            </w:r>
          </w:p>
        </w:tc>
        <w:tc>
          <w:tcPr>
            <w:tcW w:w="4889" w:type="dxa"/>
            <w:shd w:val="clear" w:color="auto" w:fill="auto"/>
          </w:tcPr>
          <w:p w:rsidR="006E77E7" w:rsidRPr="008D0638" w:rsidRDefault="006E77E7" w:rsidP="006E77E7">
            <w:pPr>
              <w:numPr>
                <w:ilvl w:val="0"/>
                <w:numId w:val="11"/>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Eskarit käyvät tutustumassa tulevaan kouluunsa </w:t>
            </w:r>
            <w:proofErr w:type="spellStart"/>
            <w:r w:rsidRPr="008D0638">
              <w:rPr>
                <w:rFonts w:ascii="Calibri" w:eastAsia="Calibri" w:hAnsi="Calibri" w:cs="Times New Roman"/>
                <w:color w:val="1F497D" w:themeColor="text2"/>
                <w:sz w:val="24"/>
                <w:szCs w:val="24"/>
              </w:rPr>
              <w:t>eskarivuoden</w:t>
            </w:r>
            <w:proofErr w:type="spellEnd"/>
            <w:r w:rsidRPr="008D0638">
              <w:rPr>
                <w:rFonts w:ascii="Calibri" w:eastAsia="Calibri" w:hAnsi="Calibri" w:cs="Times New Roman"/>
                <w:color w:val="1F497D" w:themeColor="text2"/>
                <w:sz w:val="24"/>
                <w:szCs w:val="24"/>
              </w:rPr>
              <w:t xml:space="preserve"> aikana. </w:t>
            </w:r>
            <w:proofErr w:type="spellStart"/>
            <w:r w:rsidRPr="008D0638">
              <w:rPr>
                <w:rFonts w:ascii="Calibri" w:eastAsia="Calibri" w:hAnsi="Calibri" w:cs="Times New Roman"/>
                <w:color w:val="1F497D" w:themeColor="text2"/>
                <w:sz w:val="24"/>
                <w:szCs w:val="24"/>
              </w:rPr>
              <w:t>Eskarilaisille</w:t>
            </w:r>
            <w:proofErr w:type="spellEnd"/>
            <w:r w:rsidRPr="008D0638">
              <w:rPr>
                <w:rFonts w:ascii="Calibri" w:eastAsia="Calibri" w:hAnsi="Calibri" w:cs="Times New Roman"/>
                <w:color w:val="1F497D" w:themeColor="text2"/>
                <w:sz w:val="24"/>
                <w:szCs w:val="24"/>
              </w:rPr>
              <w:t xml:space="preserve"> nimetään omat koulukummit. </w:t>
            </w:r>
          </w:p>
          <w:p w:rsidR="006E77E7" w:rsidRPr="008D0638" w:rsidRDefault="006E77E7" w:rsidP="006E77E7">
            <w:pPr>
              <w:numPr>
                <w:ilvl w:val="0"/>
                <w:numId w:val="11"/>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lastRenderedPageBreak/>
              <w:t>Varhaiskasvatuksella on mahdollisuus käyttää koulujen tiloja, esimerkiksi liikuntasaleja.</w:t>
            </w:r>
          </w:p>
        </w:tc>
      </w:tr>
      <w:tr w:rsidR="006E77E7" w:rsidRPr="008D0638" w:rsidTr="006C3803">
        <w:tc>
          <w:tcPr>
            <w:tcW w:w="4889" w:type="dxa"/>
            <w:shd w:val="clear" w:color="auto" w:fill="auto"/>
          </w:tcPr>
          <w:p w:rsidR="006E77E7" w:rsidRPr="008D0638" w:rsidRDefault="006E77E7" w:rsidP="006C3803">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lastRenderedPageBreak/>
              <w:t>Kirjasto</w:t>
            </w:r>
          </w:p>
        </w:tc>
        <w:tc>
          <w:tcPr>
            <w:tcW w:w="4889" w:type="dxa"/>
            <w:shd w:val="clear" w:color="auto" w:fill="auto"/>
          </w:tcPr>
          <w:p w:rsidR="006E77E7" w:rsidRPr="008D0638" w:rsidRDefault="006E77E7" w:rsidP="006E77E7">
            <w:pPr>
              <w:numPr>
                <w:ilvl w:val="0"/>
                <w:numId w:val="12"/>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Kirjastoauto käy päiväkodeissa säännöllisesti toimintakauden aikana. Ryhmät voivat vierailla myös kirjastossa.</w:t>
            </w:r>
          </w:p>
        </w:tc>
      </w:tr>
    </w:tbl>
    <w:p w:rsidR="006E77E7" w:rsidRPr="008D0638" w:rsidRDefault="006E77E7" w:rsidP="006E77E7">
      <w:pPr>
        <w:spacing w:after="160" w:line="259" w:lineRule="auto"/>
        <w:rPr>
          <w:rFonts w:ascii="Calibri" w:eastAsia="Calibri" w:hAnsi="Calibri" w:cs="Times New Roman"/>
          <w:color w:val="1F497D" w:themeColor="text2"/>
          <w:sz w:val="24"/>
          <w:szCs w:val="24"/>
        </w:rPr>
      </w:pPr>
    </w:p>
    <w:p w:rsidR="006E77E7" w:rsidRPr="008D0638" w:rsidRDefault="006E77E7" w:rsidP="006E77E7">
      <w:pPr>
        <w:spacing w:after="160" w:line="259" w:lineRule="auto"/>
        <w:rPr>
          <w:rFonts w:ascii="Calibri" w:eastAsia="Calibri" w:hAnsi="Calibri" w:cs="Times New Roman"/>
          <w:color w:val="1F497D" w:themeColor="text2"/>
          <w:sz w:val="24"/>
          <w:szCs w:val="24"/>
        </w:rPr>
      </w:pPr>
    </w:p>
    <w:p w:rsidR="006E77E7" w:rsidRPr="008D0638" w:rsidRDefault="006E77E7" w:rsidP="006E77E7">
      <w:pPr>
        <w:spacing w:after="160" w:line="259" w:lineRule="auto"/>
        <w:rPr>
          <w:rFonts w:ascii="Calibri" w:eastAsia="Calibri" w:hAnsi="Calibri" w:cs="Times New Roman"/>
          <w:color w:val="1F497D" w:themeColor="text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6E77E7" w:rsidRPr="008D0638" w:rsidTr="006C3803">
        <w:tc>
          <w:tcPr>
            <w:tcW w:w="4889" w:type="dxa"/>
            <w:tcBorders>
              <w:right w:val="nil"/>
            </w:tcBorders>
            <w:shd w:val="clear" w:color="auto" w:fill="auto"/>
          </w:tcPr>
          <w:p w:rsidR="006E77E7" w:rsidRPr="008D0638" w:rsidRDefault="006E77E7" w:rsidP="006C3803">
            <w:pPr>
              <w:spacing w:after="160" w:line="259" w:lineRule="auto"/>
              <w:rPr>
                <w:rFonts w:ascii="Calibri" w:eastAsia="Calibri" w:hAnsi="Calibri" w:cs="Times New Roman"/>
                <w:b/>
                <w:color w:val="1F497D" w:themeColor="text2"/>
                <w:sz w:val="24"/>
                <w:szCs w:val="24"/>
              </w:rPr>
            </w:pPr>
            <w:r w:rsidRPr="008D0638">
              <w:rPr>
                <w:rFonts w:ascii="Calibri" w:eastAsia="Calibri" w:hAnsi="Calibri" w:cs="Times New Roman"/>
                <w:b/>
                <w:color w:val="1F497D" w:themeColor="text2"/>
                <w:sz w:val="24"/>
                <w:szCs w:val="24"/>
              </w:rPr>
              <w:t>Sosiaali- ja terveydenhuolto</w:t>
            </w:r>
          </w:p>
        </w:tc>
        <w:tc>
          <w:tcPr>
            <w:tcW w:w="4889" w:type="dxa"/>
            <w:tcBorders>
              <w:left w:val="nil"/>
            </w:tcBorders>
            <w:shd w:val="clear" w:color="auto" w:fill="auto"/>
          </w:tcPr>
          <w:p w:rsidR="006E77E7" w:rsidRPr="008D0638" w:rsidRDefault="006E77E7" w:rsidP="006C3803">
            <w:pPr>
              <w:spacing w:after="160" w:line="259" w:lineRule="auto"/>
              <w:rPr>
                <w:rFonts w:ascii="Calibri" w:eastAsia="Calibri" w:hAnsi="Calibri" w:cs="Times New Roman"/>
                <w:b/>
                <w:color w:val="1F497D" w:themeColor="text2"/>
                <w:sz w:val="24"/>
                <w:szCs w:val="24"/>
              </w:rPr>
            </w:pPr>
          </w:p>
        </w:tc>
      </w:tr>
      <w:tr w:rsidR="006E77E7" w:rsidRPr="008D0638" w:rsidTr="006C3803">
        <w:tc>
          <w:tcPr>
            <w:tcW w:w="4889" w:type="dxa"/>
            <w:shd w:val="clear" w:color="auto" w:fill="auto"/>
          </w:tcPr>
          <w:p w:rsidR="006E77E7" w:rsidRPr="008D0638" w:rsidRDefault="006E77E7" w:rsidP="006C3803">
            <w:pPr>
              <w:spacing w:after="160" w:line="259" w:lineRule="auto"/>
              <w:rPr>
                <w:rFonts w:ascii="Calibri" w:eastAsia="Calibri" w:hAnsi="Calibri" w:cs="Times New Roman"/>
                <w:b/>
                <w:color w:val="1F497D" w:themeColor="text2"/>
                <w:sz w:val="24"/>
                <w:szCs w:val="24"/>
              </w:rPr>
            </w:pPr>
            <w:r w:rsidRPr="008D0638">
              <w:rPr>
                <w:rFonts w:ascii="Calibri" w:eastAsia="Calibri" w:hAnsi="Calibri" w:cs="Times New Roman"/>
                <w:b/>
                <w:color w:val="1F497D" w:themeColor="text2"/>
                <w:sz w:val="24"/>
                <w:szCs w:val="24"/>
              </w:rPr>
              <w:t>Yhteistyötaho</w:t>
            </w:r>
          </w:p>
        </w:tc>
        <w:tc>
          <w:tcPr>
            <w:tcW w:w="4889" w:type="dxa"/>
            <w:shd w:val="clear" w:color="auto" w:fill="auto"/>
          </w:tcPr>
          <w:p w:rsidR="006E77E7" w:rsidRPr="008D0638" w:rsidRDefault="006E77E7" w:rsidP="006C3803">
            <w:pPr>
              <w:spacing w:after="160" w:line="259" w:lineRule="auto"/>
              <w:rPr>
                <w:rFonts w:ascii="Calibri" w:eastAsia="Calibri" w:hAnsi="Calibri" w:cs="Times New Roman"/>
                <w:b/>
                <w:color w:val="1F497D" w:themeColor="text2"/>
                <w:sz w:val="24"/>
                <w:szCs w:val="24"/>
              </w:rPr>
            </w:pPr>
            <w:r w:rsidRPr="008D0638">
              <w:rPr>
                <w:rFonts w:ascii="Calibri" w:eastAsia="Calibri" w:hAnsi="Calibri" w:cs="Times New Roman"/>
                <w:b/>
                <w:color w:val="1F497D" w:themeColor="text2"/>
                <w:sz w:val="24"/>
                <w:szCs w:val="24"/>
              </w:rPr>
              <w:t>Millaista yhteistyö on?</w:t>
            </w:r>
          </w:p>
        </w:tc>
      </w:tr>
      <w:tr w:rsidR="006E77E7" w:rsidRPr="008D0638" w:rsidTr="006C3803">
        <w:tc>
          <w:tcPr>
            <w:tcW w:w="4889" w:type="dxa"/>
            <w:shd w:val="clear" w:color="auto" w:fill="auto"/>
          </w:tcPr>
          <w:p w:rsidR="006E77E7" w:rsidRPr="008D0638" w:rsidRDefault="006E77E7" w:rsidP="006C3803">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Neuvola</w:t>
            </w:r>
          </w:p>
        </w:tc>
        <w:tc>
          <w:tcPr>
            <w:tcW w:w="4889" w:type="dxa"/>
            <w:shd w:val="clear" w:color="auto" w:fill="auto"/>
          </w:tcPr>
          <w:p w:rsidR="006E77E7" w:rsidRPr="008D0638" w:rsidRDefault="006E77E7" w:rsidP="006E77E7">
            <w:pPr>
              <w:numPr>
                <w:ilvl w:val="0"/>
                <w:numId w:val="8"/>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Tiedonsiirto lapsen kehityksestä neuvolaan tehdään vuositarkastuksen yhteydessä. Tiedonsiirtolomake käydään läpi huoltajan kanssa ja laitetaan vasulomakkeen mukana neuvolaan. Huoltajat palauttavat tiedonsiirtolomakkeen neuvolan jälkeen päiväkotiin.</w:t>
            </w:r>
          </w:p>
          <w:p w:rsidR="006E77E7" w:rsidRPr="008D0638" w:rsidRDefault="006E77E7" w:rsidP="006E77E7">
            <w:pPr>
              <w:numPr>
                <w:ilvl w:val="0"/>
                <w:numId w:val="8"/>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 3-vuotiaiden kettutesti tehdään varhaiskasvatuksessa ennen 3-vuotisneuvolaa, jos lapsi on varhaiskasvatuksen piirissä. Kettutestillä havainnoidaan lapsen kielellistä kehitystä ja ohjataan tarvittaessa puheterapiaan neuvolan lähetteellä.</w:t>
            </w:r>
          </w:p>
        </w:tc>
      </w:tr>
      <w:tr w:rsidR="006E77E7" w:rsidRPr="008D0638" w:rsidTr="006C3803">
        <w:tc>
          <w:tcPr>
            <w:tcW w:w="4889" w:type="dxa"/>
            <w:shd w:val="clear" w:color="auto" w:fill="auto"/>
          </w:tcPr>
          <w:p w:rsidR="006E77E7" w:rsidRPr="008D0638" w:rsidRDefault="006E77E7" w:rsidP="006C3803">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Puheterapeutti, toimintaterapeutti</w:t>
            </w:r>
          </w:p>
        </w:tc>
        <w:tc>
          <w:tcPr>
            <w:tcW w:w="4889" w:type="dxa"/>
            <w:shd w:val="clear" w:color="auto" w:fill="auto"/>
          </w:tcPr>
          <w:p w:rsidR="006E77E7" w:rsidRPr="008D0638" w:rsidRDefault="006E77E7" w:rsidP="006E77E7">
            <w:pPr>
              <w:numPr>
                <w:ilvl w:val="0"/>
                <w:numId w:val="7"/>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Lapsi ohjautuu puhe- ja toimintaterapeutille yleensä neuvolan kautta. Varhaiskasvatuksesta voidaan tiedonsiirtolomakkeen kautta antaa tarvittavaa tietoa lapsen kehityksestä neuvolaan. </w:t>
            </w:r>
          </w:p>
          <w:p w:rsidR="006E77E7" w:rsidRPr="008D0638" w:rsidRDefault="006E77E7" w:rsidP="006E77E7">
            <w:pPr>
              <w:numPr>
                <w:ilvl w:val="0"/>
                <w:numId w:val="7"/>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Puhe- ja toimintaterapeutit antavat varhaiskasvatukselle käytännön ohjeita terapian tueksi.</w:t>
            </w:r>
          </w:p>
          <w:p w:rsidR="006E77E7" w:rsidRPr="008D0638" w:rsidRDefault="006E77E7" w:rsidP="006E77E7">
            <w:pPr>
              <w:numPr>
                <w:ilvl w:val="0"/>
                <w:numId w:val="7"/>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Puhe- ja toimintaterapialle järjestetään tarvittaessa tilat lapsen päiväkodista. </w:t>
            </w:r>
          </w:p>
        </w:tc>
      </w:tr>
      <w:tr w:rsidR="006E77E7" w:rsidRPr="008D0638" w:rsidTr="006C3803">
        <w:tc>
          <w:tcPr>
            <w:tcW w:w="4889" w:type="dxa"/>
            <w:shd w:val="clear" w:color="auto" w:fill="auto"/>
          </w:tcPr>
          <w:p w:rsidR="006E77E7" w:rsidRPr="008D0638" w:rsidRDefault="006E77E7" w:rsidP="006C3803">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lastRenderedPageBreak/>
              <w:t>Lastensuojelu</w:t>
            </w:r>
          </w:p>
        </w:tc>
        <w:tc>
          <w:tcPr>
            <w:tcW w:w="4889" w:type="dxa"/>
            <w:shd w:val="clear" w:color="auto" w:fill="auto"/>
          </w:tcPr>
          <w:p w:rsidR="006E77E7" w:rsidRPr="008D0638" w:rsidRDefault="006E77E7" w:rsidP="006E77E7">
            <w:pPr>
              <w:numPr>
                <w:ilvl w:val="0"/>
                <w:numId w:val="6"/>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Lastensuojelulaki velvoittaa tekemään lastensuojeluilmoituksen, kun henkilökunnalla herää huoli lapsesta tai perheestä. Lastensuojelun työntekijöitä voi konsultoida puhelimessa. Hyvä käytäntö on, että huolet otetaan aina ensin puheeksi huoltajan kanssa.</w:t>
            </w:r>
          </w:p>
          <w:p w:rsidR="006E77E7" w:rsidRPr="008D0638" w:rsidRDefault="006E77E7" w:rsidP="006E77E7">
            <w:pPr>
              <w:numPr>
                <w:ilvl w:val="0"/>
                <w:numId w:val="6"/>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Ilmoitus pyritään tekemään yhdessä perheen kanssa. Varhaiskasvatus tukee huoltajia ottamaan itse yhteyttä lastensuojeluun. </w:t>
            </w:r>
          </w:p>
          <w:p w:rsidR="006E77E7" w:rsidRPr="008D0638" w:rsidRDefault="006E77E7" w:rsidP="006E77E7">
            <w:pPr>
              <w:numPr>
                <w:ilvl w:val="0"/>
                <w:numId w:val="6"/>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Tarvittaessa järjestetään yhteistyöpalavereita, joissa sovitaan perheen ja lapsen tarvitsemasta tuesta. </w:t>
            </w:r>
          </w:p>
        </w:tc>
      </w:tr>
      <w:tr w:rsidR="006E77E7" w:rsidRPr="008D0638" w:rsidTr="006C3803">
        <w:tc>
          <w:tcPr>
            <w:tcW w:w="4889" w:type="dxa"/>
            <w:shd w:val="clear" w:color="auto" w:fill="auto"/>
          </w:tcPr>
          <w:p w:rsidR="006E77E7" w:rsidRPr="008D0638" w:rsidRDefault="006E77E7" w:rsidP="006C3803">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Perhetyö</w:t>
            </w:r>
          </w:p>
        </w:tc>
        <w:tc>
          <w:tcPr>
            <w:tcW w:w="4889" w:type="dxa"/>
            <w:shd w:val="clear" w:color="auto" w:fill="auto"/>
          </w:tcPr>
          <w:p w:rsidR="006E77E7" w:rsidRPr="008D0638" w:rsidRDefault="006E77E7" w:rsidP="006E77E7">
            <w:pPr>
              <w:numPr>
                <w:ilvl w:val="0"/>
                <w:numId w:val="6"/>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Varhaiskasvatus voi perhetyön yhteistyötahona ottaa yhteyttä perhetyöhön, jos perhe tarvitsee apua ja tukea arjessa. </w:t>
            </w:r>
          </w:p>
        </w:tc>
      </w:tr>
      <w:tr w:rsidR="006E77E7" w:rsidRPr="008D0638" w:rsidTr="006C3803">
        <w:tc>
          <w:tcPr>
            <w:tcW w:w="4889" w:type="dxa"/>
            <w:shd w:val="clear" w:color="auto" w:fill="auto"/>
          </w:tcPr>
          <w:p w:rsidR="006E77E7" w:rsidRPr="008D0638" w:rsidRDefault="006E77E7" w:rsidP="006C3803">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Erityissairaanhoito</w:t>
            </w:r>
          </w:p>
        </w:tc>
        <w:tc>
          <w:tcPr>
            <w:tcW w:w="4889" w:type="dxa"/>
            <w:shd w:val="clear" w:color="auto" w:fill="auto"/>
          </w:tcPr>
          <w:p w:rsidR="006E77E7" w:rsidRPr="008D0638" w:rsidRDefault="006E77E7" w:rsidP="006E77E7">
            <w:pPr>
              <w:numPr>
                <w:ilvl w:val="0"/>
                <w:numId w:val="5"/>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Huoltajat toimittavat päiväkotiin tarvittavat lääkärinlausunnot ja hoitopalautteet lapsen tilanteesta.</w:t>
            </w:r>
          </w:p>
          <w:p w:rsidR="006E77E7" w:rsidRPr="008D0638" w:rsidRDefault="006E77E7" w:rsidP="006E77E7">
            <w:pPr>
              <w:numPr>
                <w:ilvl w:val="0"/>
                <w:numId w:val="5"/>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Tarvittaessa täytetään lapsen lääkehoitosuunnitelma sekä ohjeistus lääkkeiden antamiseen, esim. diabetes, astma.</w:t>
            </w:r>
          </w:p>
          <w:p w:rsidR="006E77E7" w:rsidRPr="008D0638" w:rsidRDefault="006E77E7" w:rsidP="006E77E7">
            <w:pPr>
              <w:numPr>
                <w:ilvl w:val="0"/>
                <w:numId w:val="5"/>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Tarvittaessa järjestetään yhteistyöpalaveri, jossa käydään läpi lapsen tarvitsemaa tukea ja ohjausta varhaiskasvatuksessa sekä sovitaan käytännöistä. </w:t>
            </w:r>
          </w:p>
        </w:tc>
      </w:tr>
      <w:tr w:rsidR="006E77E7" w:rsidRPr="008D0638" w:rsidTr="006C3803">
        <w:tc>
          <w:tcPr>
            <w:tcW w:w="4889" w:type="dxa"/>
            <w:shd w:val="clear" w:color="auto" w:fill="auto"/>
          </w:tcPr>
          <w:p w:rsidR="006E77E7" w:rsidRPr="008D0638" w:rsidRDefault="006E77E7" w:rsidP="006C3803">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Perheneuvola</w:t>
            </w:r>
          </w:p>
        </w:tc>
        <w:tc>
          <w:tcPr>
            <w:tcW w:w="4889" w:type="dxa"/>
            <w:shd w:val="clear" w:color="auto" w:fill="auto"/>
          </w:tcPr>
          <w:p w:rsidR="006E77E7" w:rsidRPr="008D0638" w:rsidRDefault="006E77E7" w:rsidP="006E77E7">
            <w:pPr>
              <w:numPr>
                <w:ilvl w:val="0"/>
                <w:numId w:val="5"/>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Varhaiskasvatus ohjaa perheitä ottamaan yhteyttä perheneuvolaan hankalissa tukea tarvitsevissa elämäntilanteissa.   </w:t>
            </w:r>
          </w:p>
        </w:tc>
      </w:tr>
      <w:tr w:rsidR="006E77E7" w:rsidRPr="008D0638" w:rsidTr="006C3803">
        <w:trPr>
          <w:trHeight w:val="526"/>
        </w:trPr>
        <w:tc>
          <w:tcPr>
            <w:tcW w:w="4889" w:type="dxa"/>
            <w:shd w:val="clear" w:color="auto" w:fill="auto"/>
          </w:tcPr>
          <w:p w:rsidR="006E77E7" w:rsidRPr="008D0638" w:rsidRDefault="006E77E7" w:rsidP="006C3803">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Lapsiperheiden kotipalvelu</w:t>
            </w:r>
          </w:p>
        </w:tc>
        <w:tc>
          <w:tcPr>
            <w:tcW w:w="4889" w:type="dxa"/>
            <w:shd w:val="clear" w:color="auto" w:fill="auto"/>
          </w:tcPr>
          <w:p w:rsidR="006E77E7" w:rsidRPr="008D0638" w:rsidRDefault="006E77E7" w:rsidP="006E77E7">
            <w:pPr>
              <w:numPr>
                <w:ilvl w:val="0"/>
                <w:numId w:val="2"/>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Varhaiskasvatus ohjaa perheitä ottamaan yhteyttä lapsiperheiden kotipalveluun.</w:t>
            </w:r>
          </w:p>
        </w:tc>
      </w:tr>
      <w:tr w:rsidR="006E77E7" w:rsidRPr="008D0638" w:rsidTr="006C3803">
        <w:trPr>
          <w:trHeight w:val="526"/>
        </w:trPr>
        <w:tc>
          <w:tcPr>
            <w:tcW w:w="4889" w:type="dxa"/>
            <w:shd w:val="clear" w:color="auto" w:fill="auto"/>
          </w:tcPr>
          <w:p w:rsidR="006E77E7" w:rsidRPr="008D0638" w:rsidRDefault="006E77E7" w:rsidP="006C3803">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Polku – jalkautuva päihdetyöpari</w:t>
            </w:r>
          </w:p>
        </w:tc>
        <w:tc>
          <w:tcPr>
            <w:tcW w:w="4889" w:type="dxa"/>
            <w:shd w:val="clear" w:color="auto" w:fill="auto"/>
          </w:tcPr>
          <w:p w:rsidR="006E77E7" w:rsidRPr="008D0638" w:rsidRDefault="006E77E7" w:rsidP="006E77E7">
            <w:pPr>
              <w:numPr>
                <w:ilvl w:val="0"/>
                <w:numId w:val="2"/>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Huolen herätessä media-, peli- tai päihderiippuvuudesta varhaiskasvatus </w:t>
            </w:r>
            <w:r w:rsidRPr="008D0638">
              <w:rPr>
                <w:rFonts w:ascii="Calibri" w:eastAsia="Calibri" w:hAnsi="Calibri" w:cs="Times New Roman"/>
                <w:color w:val="1F497D" w:themeColor="text2"/>
                <w:sz w:val="24"/>
                <w:szCs w:val="24"/>
              </w:rPr>
              <w:lastRenderedPageBreak/>
              <w:t xml:space="preserve">voi ohjata perheen ottamaan yhteyttä Polkuun. </w:t>
            </w:r>
          </w:p>
          <w:p w:rsidR="006E77E7" w:rsidRPr="008D0638" w:rsidRDefault="006E77E7" w:rsidP="006E77E7">
            <w:pPr>
              <w:numPr>
                <w:ilvl w:val="0"/>
                <w:numId w:val="2"/>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Varhaiskasvatushenkilöstö voi nimettömänä pyytää konsultaatiota.</w:t>
            </w:r>
          </w:p>
        </w:tc>
      </w:tr>
    </w:tbl>
    <w:p w:rsidR="006E77E7" w:rsidRPr="008D0638" w:rsidRDefault="006E77E7" w:rsidP="006E77E7">
      <w:pPr>
        <w:spacing w:after="160" w:line="259" w:lineRule="auto"/>
        <w:rPr>
          <w:rFonts w:ascii="Calibri" w:eastAsia="Calibri" w:hAnsi="Calibri" w:cs="Times New Roman"/>
          <w:color w:val="1F497D" w:themeColor="text2"/>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89"/>
        <w:gridCol w:w="4889"/>
      </w:tblGrid>
      <w:tr w:rsidR="006E77E7" w:rsidRPr="008D0638" w:rsidTr="006C3803">
        <w:tc>
          <w:tcPr>
            <w:tcW w:w="4889" w:type="dxa"/>
            <w:tcBorders>
              <w:right w:val="nil"/>
            </w:tcBorders>
            <w:shd w:val="clear" w:color="auto" w:fill="auto"/>
          </w:tcPr>
          <w:p w:rsidR="006E77E7" w:rsidRPr="008D0638" w:rsidRDefault="006E77E7" w:rsidP="006C3803">
            <w:pPr>
              <w:spacing w:after="160" w:line="259" w:lineRule="auto"/>
              <w:rPr>
                <w:rFonts w:ascii="Calibri" w:eastAsia="Calibri" w:hAnsi="Calibri" w:cs="Times New Roman"/>
                <w:b/>
                <w:color w:val="1F497D" w:themeColor="text2"/>
                <w:sz w:val="24"/>
                <w:szCs w:val="24"/>
              </w:rPr>
            </w:pPr>
            <w:r w:rsidRPr="008D0638">
              <w:rPr>
                <w:rFonts w:ascii="Calibri" w:eastAsia="Calibri" w:hAnsi="Calibri" w:cs="Times New Roman"/>
                <w:b/>
                <w:color w:val="1F497D" w:themeColor="text2"/>
                <w:sz w:val="24"/>
                <w:szCs w:val="24"/>
              </w:rPr>
              <w:t>Muita yhteistyötahoja</w:t>
            </w:r>
          </w:p>
        </w:tc>
        <w:tc>
          <w:tcPr>
            <w:tcW w:w="4889" w:type="dxa"/>
            <w:tcBorders>
              <w:left w:val="nil"/>
            </w:tcBorders>
            <w:shd w:val="clear" w:color="auto" w:fill="auto"/>
          </w:tcPr>
          <w:p w:rsidR="006E77E7" w:rsidRPr="008D0638" w:rsidRDefault="006E77E7" w:rsidP="006C3803">
            <w:pPr>
              <w:spacing w:after="160" w:line="259" w:lineRule="auto"/>
              <w:rPr>
                <w:rFonts w:ascii="Calibri" w:eastAsia="Calibri" w:hAnsi="Calibri" w:cs="Times New Roman"/>
                <w:b/>
                <w:color w:val="1F497D" w:themeColor="text2"/>
                <w:sz w:val="24"/>
                <w:szCs w:val="24"/>
              </w:rPr>
            </w:pPr>
          </w:p>
        </w:tc>
      </w:tr>
      <w:tr w:rsidR="006E77E7" w:rsidRPr="008D0638" w:rsidTr="006C3803">
        <w:tc>
          <w:tcPr>
            <w:tcW w:w="4889" w:type="dxa"/>
            <w:shd w:val="clear" w:color="auto" w:fill="auto"/>
          </w:tcPr>
          <w:p w:rsidR="006E77E7" w:rsidRPr="008D0638" w:rsidRDefault="006E77E7" w:rsidP="006C3803">
            <w:pPr>
              <w:spacing w:after="160" w:line="259" w:lineRule="auto"/>
              <w:rPr>
                <w:rFonts w:ascii="Calibri" w:eastAsia="Calibri" w:hAnsi="Calibri" w:cs="Times New Roman"/>
                <w:b/>
                <w:color w:val="1F497D" w:themeColor="text2"/>
                <w:sz w:val="24"/>
                <w:szCs w:val="24"/>
              </w:rPr>
            </w:pPr>
            <w:r w:rsidRPr="008D0638">
              <w:rPr>
                <w:rFonts w:ascii="Calibri" w:eastAsia="Calibri" w:hAnsi="Calibri" w:cs="Times New Roman"/>
                <w:b/>
                <w:color w:val="1F497D" w:themeColor="text2"/>
                <w:sz w:val="24"/>
                <w:szCs w:val="24"/>
              </w:rPr>
              <w:t>Yhteistyötaho</w:t>
            </w:r>
          </w:p>
        </w:tc>
        <w:tc>
          <w:tcPr>
            <w:tcW w:w="4889" w:type="dxa"/>
            <w:shd w:val="clear" w:color="auto" w:fill="auto"/>
          </w:tcPr>
          <w:p w:rsidR="006E77E7" w:rsidRPr="008D0638" w:rsidRDefault="006E77E7" w:rsidP="006C3803">
            <w:pPr>
              <w:spacing w:after="160" w:line="259" w:lineRule="auto"/>
              <w:rPr>
                <w:rFonts w:ascii="Calibri" w:eastAsia="Calibri" w:hAnsi="Calibri" w:cs="Times New Roman"/>
                <w:b/>
                <w:color w:val="1F497D" w:themeColor="text2"/>
                <w:sz w:val="24"/>
                <w:szCs w:val="24"/>
              </w:rPr>
            </w:pPr>
            <w:r w:rsidRPr="008D0638">
              <w:rPr>
                <w:rFonts w:ascii="Calibri" w:eastAsia="Calibri" w:hAnsi="Calibri" w:cs="Times New Roman"/>
                <w:b/>
                <w:color w:val="1F497D" w:themeColor="text2"/>
                <w:sz w:val="24"/>
                <w:szCs w:val="24"/>
              </w:rPr>
              <w:t>Millaista yhteistyö on?</w:t>
            </w:r>
          </w:p>
        </w:tc>
      </w:tr>
      <w:tr w:rsidR="006E77E7" w:rsidRPr="008D0638" w:rsidTr="006C3803">
        <w:tc>
          <w:tcPr>
            <w:tcW w:w="4889" w:type="dxa"/>
            <w:shd w:val="clear" w:color="auto" w:fill="auto"/>
          </w:tcPr>
          <w:p w:rsidR="006E77E7" w:rsidRPr="008D0638" w:rsidRDefault="006E77E7" w:rsidP="006C3803">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Seurakunnat</w:t>
            </w:r>
          </w:p>
        </w:tc>
        <w:tc>
          <w:tcPr>
            <w:tcW w:w="4889" w:type="dxa"/>
            <w:shd w:val="clear" w:color="auto" w:fill="auto"/>
          </w:tcPr>
          <w:p w:rsidR="006E77E7" w:rsidRPr="008D0638" w:rsidRDefault="006E77E7" w:rsidP="006E77E7">
            <w:pPr>
              <w:numPr>
                <w:ilvl w:val="0"/>
                <w:numId w:val="4"/>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Yhteistyössä seurakuntien kanssa tulee huomioida eri uskonnot, katsomukset ja uskonnottomuus. Varhaiskasvatuksella on ev.lut. seurakunnan kanssa joka syksy ja kevät yhteinen palaveri, jossa suunnitellaan muun muassa hartaushetket, vaellukset sekä joulu- ja kevätkirkot. </w:t>
            </w:r>
          </w:p>
        </w:tc>
      </w:tr>
      <w:tr w:rsidR="006E77E7" w:rsidRPr="008D0638" w:rsidTr="006C3803">
        <w:tc>
          <w:tcPr>
            <w:tcW w:w="4889" w:type="dxa"/>
            <w:shd w:val="clear" w:color="auto" w:fill="auto"/>
          </w:tcPr>
          <w:p w:rsidR="006E77E7" w:rsidRPr="008D0638" w:rsidRDefault="006E77E7" w:rsidP="006C3803">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Urheiluseurat</w:t>
            </w:r>
          </w:p>
        </w:tc>
        <w:tc>
          <w:tcPr>
            <w:tcW w:w="4889" w:type="dxa"/>
            <w:shd w:val="clear" w:color="auto" w:fill="auto"/>
          </w:tcPr>
          <w:p w:rsidR="006E77E7" w:rsidRPr="008D0638" w:rsidRDefault="006E77E7" w:rsidP="006E77E7">
            <w:pPr>
              <w:numPr>
                <w:ilvl w:val="0"/>
                <w:numId w:val="3"/>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Varhaiskasvatuksessa tutustutaan eri urheiluseuroihin järjestämällä yhteistä toimintaa sekä välittämällä tietoa seurojen toiminnasta perheille.  </w:t>
            </w:r>
          </w:p>
        </w:tc>
      </w:tr>
      <w:tr w:rsidR="006E77E7" w:rsidRPr="008D0638" w:rsidTr="006C3803">
        <w:tc>
          <w:tcPr>
            <w:tcW w:w="4889" w:type="dxa"/>
            <w:shd w:val="clear" w:color="auto" w:fill="auto"/>
          </w:tcPr>
          <w:p w:rsidR="006E77E7" w:rsidRPr="008D0638" w:rsidRDefault="006E77E7" w:rsidP="006C3803">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Ensihoito, poliisi ja Kainuun pelastuslaitos</w:t>
            </w:r>
          </w:p>
        </w:tc>
        <w:tc>
          <w:tcPr>
            <w:tcW w:w="4889" w:type="dxa"/>
            <w:shd w:val="clear" w:color="auto" w:fill="auto"/>
          </w:tcPr>
          <w:p w:rsidR="006E77E7" w:rsidRPr="008D0638" w:rsidRDefault="006E77E7" w:rsidP="006E77E7">
            <w:pPr>
              <w:numPr>
                <w:ilvl w:val="0"/>
                <w:numId w:val="3"/>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Ensihoito, poliisi ja pelastuslaitos käyvät päiväkodeissa kertomassa toiminnastaan ja esittelemässä hälytysajoneuvoja.</w:t>
            </w:r>
          </w:p>
        </w:tc>
      </w:tr>
      <w:tr w:rsidR="006E77E7" w:rsidRPr="008D0638" w:rsidTr="006C3803">
        <w:tc>
          <w:tcPr>
            <w:tcW w:w="4889" w:type="dxa"/>
            <w:shd w:val="clear" w:color="auto" w:fill="auto"/>
          </w:tcPr>
          <w:p w:rsidR="006E77E7" w:rsidRPr="008D0638" w:rsidRDefault="006E77E7" w:rsidP="006C3803">
            <w:p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Järjestöt, yhdistykset</w:t>
            </w:r>
          </w:p>
        </w:tc>
        <w:tc>
          <w:tcPr>
            <w:tcW w:w="4889" w:type="dxa"/>
            <w:shd w:val="clear" w:color="auto" w:fill="auto"/>
          </w:tcPr>
          <w:p w:rsidR="006E77E7" w:rsidRPr="008D0638" w:rsidRDefault="006E77E7" w:rsidP="006E77E7">
            <w:pPr>
              <w:numPr>
                <w:ilvl w:val="0"/>
                <w:numId w:val="3"/>
              </w:numPr>
              <w:spacing w:after="160" w:line="259" w:lineRule="auto"/>
              <w:rPr>
                <w:rFonts w:ascii="Calibri" w:eastAsia="Calibri" w:hAnsi="Calibri" w:cs="Times New Roman"/>
                <w:color w:val="1F497D" w:themeColor="text2"/>
                <w:sz w:val="24"/>
                <w:szCs w:val="24"/>
              </w:rPr>
            </w:pPr>
            <w:r w:rsidRPr="008D0638">
              <w:rPr>
                <w:rFonts w:ascii="Calibri" w:eastAsia="Calibri" w:hAnsi="Calibri" w:cs="Times New Roman"/>
                <w:color w:val="1F497D" w:themeColor="text2"/>
                <w:sz w:val="24"/>
                <w:szCs w:val="24"/>
              </w:rPr>
              <w:t xml:space="preserve">Varhaiskasvatuksessa hyödynnetään eri järjestöjen ja yhdistysten osaamista sekä välitetään tietoa perheille eri järjestöjen ja yhdistysten tapahtumista. </w:t>
            </w:r>
          </w:p>
        </w:tc>
      </w:tr>
    </w:tbl>
    <w:p w:rsidR="006E77E7" w:rsidRPr="008D0638" w:rsidRDefault="006E77E7" w:rsidP="006E77E7">
      <w:pPr>
        <w:spacing w:after="160" w:line="259" w:lineRule="auto"/>
        <w:rPr>
          <w:rFonts w:ascii="Calibri" w:eastAsia="Calibri" w:hAnsi="Calibri" w:cs="Times New Roman"/>
          <w:color w:val="1F497D" w:themeColor="text2"/>
          <w:sz w:val="24"/>
          <w:szCs w:val="24"/>
        </w:rPr>
      </w:pPr>
    </w:p>
    <w:p w:rsidR="006E77E7" w:rsidRPr="008D0638" w:rsidRDefault="006E77E7" w:rsidP="006E77E7">
      <w:pPr>
        <w:spacing w:after="160" w:line="259" w:lineRule="auto"/>
        <w:rPr>
          <w:rFonts w:ascii="Calibri" w:eastAsia="Calibri" w:hAnsi="Calibri" w:cs="Times New Roman"/>
          <w:color w:val="1F497D" w:themeColor="text2"/>
        </w:rPr>
      </w:pPr>
    </w:p>
    <w:p w:rsidR="006E77E7" w:rsidRPr="003F0C7E" w:rsidRDefault="006E77E7" w:rsidP="006E77E7">
      <w:pPr>
        <w:autoSpaceDE w:val="0"/>
        <w:autoSpaceDN w:val="0"/>
        <w:adjustRightInd w:val="0"/>
        <w:spacing w:after="0" w:line="240" w:lineRule="auto"/>
        <w:rPr>
          <w:rFonts w:cs="ITCGaramondStd-Lt"/>
          <w:color w:val="1F497D" w:themeColor="text2"/>
        </w:rPr>
      </w:pPr>
      <w:r w:rsidRPr="003F0C7E">
        <w:rPr>
          <w:rFonts w:cs="ITCGaramondStd-Lt"/>
          <w:color w:val="1F497D" w:themeColor="text2"/>
        </w:rPr>
        <w:t xml:space="preserve"> </w:t>
      </w:r>
    </w:p>
    <w:p w:rsidR="006E77E7" w:rsidRPr="003F0C7E" w:rsidRDefault="006E77E7" w:rsidP="006E77E7">
      <w:pPr>
        <w:autoSpaceDE w:val="0"/>
        <w:autoSpaceDN w:val="0"/>
        <w:adjustRightInd w:val="0"/>
        <w:spacing w:after="0" w:line="240" w:lineRule="auto"/>
        <w:rPr>
          <w:rFonts w:cs="ITCGaramondStd-Bk"/>
          <w:color w:val="1F497D" w:themeColor="text2"/>
        </w:rPr>
      </w:pPr>
    </w:p>
    <w:p w:rsidR="006E77E7" w:rsidRPr="008D0638" w:rsidRDefault="006E77E7" w:rsidP="006E77E7">
      <w:pPr>
        <w:rPr>
          <w:color w:val="1F497D" w:themeColor="text2"/>
        </w:rPr>
      </w:pPr>
    </w:p>
    <w:p w:rsidR="000F5730" w:rsidRDefault="000F5730">
      <w:bookmarkStart w:id="0" w:name="_GoBack"/>
      <w:bookmarkEnd w:id="0"/>
    </w:p>
    <w:sectPr w:rsidR="000F5730">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ITCGaramondStd-Lt">
    <w:panose1 w:val="00000000000000000000"/>
    <w:charset w:val="00"/>
    <w:family w:val="roman"/>
    <w:notTrueType/>
    <w:pitch w:val="default"/>
    <w:sig w:usb0="00000003" w:usb1="00000000" w:usb2="00000000" w:usb3="00000000" w:csb0="00000001" w:csb1="00000000"/>
  </w:font>
  <w:font w:name="ITCGaramondStd-Bk">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96E80"/>
    <w:multiLevelType w:val="hybridMultilevel"/>
    <w:tmpl w:val="BC9677FE"/>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1">
    <w:nsid w:val="23412E16"/>
    <w:multiLevelType w:val="hybridMultilevel"/>
    <w:tmpl w:val="66CC00D4"/>
    <w:lvl w:ilvl="0" w:tplc="040B000B">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2">
    <w:nsid w:val="269B36CC"/>
    <w:multiLevelType w:val="hybridMultilevel"/>
    <w:tmpl w:val="C05624A6"/>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3">
    <w:nsid w:val="2A5A0506"/>
    <w:multiLevelType w:val="hybridMultilevel"/>
    <w:tmpl w:val="F5EC114A"/>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4">
    <w:nsid w:val="2C184AB0"/>
    <w:multiLevelType w:val="hybridMultilevel"/>
    <w:tmpl w:val="F33A7A36"/>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5">
    <w:nsid w:val="2CA740CA"/>
    <w:multiLevelType w:val="hybridMultilevel"/>
    <w:tmpl w:val="D5EEA604"/>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6">
    <w:nsid w:val="31A120C8"/>
    <w:multiLevelType w:val="hybridMultilevel"/>
    <w:tmpl w:val="9EA25C4E"/>
    <w:lvl w:ilvl="0" w:tplc="040B000B">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7">
    <w:nsid w:val="449F56B2"/>
    <w:multiLevelType w:val="hybridMultilevel"/>
    <w:tmpl w:val="47561B9C"/>
    <w:lvl w:ilvl="0" w:tplc="040B000B">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8">
    <w:nsid w:val="55073EDA"/>
    <w:multiLevelType w:val="hybridMultilevel"/>
    <w:tmpl w:val="FA646AE4"/>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abstractNum w:abstractNumId="9">
    <w:nsid w:val="5AC161F8"/>
    <w:multiLevelType w:val="hybridMultilevel"/>
    <w:tmpl w:val="6EEAA412"/>
    <w:lvl w:ilvl="0" w:tplc="040B000B">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0">
    <w:nsid w:val="64B369D7"/>
    <w:multiLevelType w:val="hybridMultilevel"/>
    <w:tmpl w:val="316E919A"/>
    <w:lvl w:ilvl="0" w:tplc="040B000B">
      <w:start w:val="1"/>
      <w:numFmt w:val="bullet"/>
      <w:lvlText w:val=""/>
      <w:lvlJc w:val="left"/>
      <w:pPr>
        <w:tabs>
          <w:tab w:val="num" w:pos="720"/>
        </w:tabs>
        <w:ind w:left="720" w:hanging="360"/>
      </w:pPr>
      <w:rPr>
        <w:rFonts w:ascii="Wingdings" w:hAnsi="Wingdings" w:hint="default"/>
      </w:rPr>
    </w:lvl>
    <w:lvl w:ilvl="1" w:tplc="040B0003" w:tentative="1">
      <w:start w:val="1"/>
      <w:numFmt w:val="bullet"/>
      <w:lvlText w:val="o"/>
      <w:lvlJc w:val="left"/>
      <w:pPr>
        <w:tabs>
          <w:tab w:val="num" w:pos="1440"/>
        </w:tabs>
        <w:ind w:left="1440" w:hanging="360"/>
      </w:pPr>
      <w:rPr>
        <w:rFonts w:ascii="Courier New" w:hAnsi="Courier New" w:cs="Courier New" w:hint="default"/>
      </w:rPr>
    </w:lvl>
    <w:lvl w:ilvl="2" w:tplc="040B0005" w:tentative="1">
      <w:start w:val="1"/>
      <w:numFmt w:val="bullet"/>
      <w:lvlText w:val=""/>
      <w:lvlJc w:val="left"/>
      <w:pPr>
        <w:tabs>
          <w:tab w:val="num" w:pos="2160"/>
        </w:tabs>
        <w:ind w:left="2160" w:hanging="360"/>
      </w:pPr>
      <w:rPr>
        <w:rFonts w:ascii="Wingdings" w:hAnsi="Wingdings" w:hint="default"/>
      </w:rPr>
    </w:lvl>
    <w:lvl w:ilvl="3" w:tplc="040B0001" w:tentative="1">
      <w:start w:val="1"/>
      <w:numFmt w:val="bullet"/>
      <w:lvlText w:val=""/>
      <w:lvlJc w:val="left"/>
      <w:pPr>
        <w:tabs>
          <w:tab w:val="num" w:pos="2880"/>
        </w:tabs>
        <w:ind w:left="2880" w:hanging="360"/>
      </w:pPr>
      <w:rPr>
        <w:rFonts w:ascii="Symbol" w:hAnsi="Symbol" w:hint="default"/>
      </w:rPr>
    </w:lvl>
    <w:lvl w:ilvl="4" w:tplc="040B0003" w:tentative="1">
      <w:start w:val="1"/>
      <w:numFmt w:val="bullet"/>
      <w:lvlText w:val="o"/>
      <w:lvlJc w:val="left"/>
      <w:pPr>
        <w:tabs>
          <w:tab w:val="num" w:pos="3600"/>
        </w:tabs>
        <w:ind w:left="3600" w:hanging="360"/>
      </w:pPr>
      <w:rPr>
        <w:rFonts w:ascii="Courier New" w:hAnsi="Courier New" w:cs="Courier New" w:hint="default"/>
      </w:rPr>
    </w:lvl>
    <w:lvl w:ilvl="5" w:tplc="040B0005" w:tentative="1">
      <w:start w:val="1"/>
      <w:numFmt w:val="bullet"/>
      <w:lvlText w:val=""/>
      <w:lvlJc w:val="left"/>
      <w:pPr>
        <w:tabs>
          <w:tab w:val="num" w:pos="4320"/>
        </w:tabs>
        <w:ind w:left="4320" w:hanging="360"/>
      </w:pPr>
      <w:rPr>
        <w:rFonts w:ascii="Wingdings" w:hAnsi="Wingdings" w:hint="default"/>
      </w:rPr>
    </w:lvl>
    <w:lvl w:ilvl="6" w:tplc="040B0001" w:tentative="1">
      <w:start w:val="1"/>
      <w:numFmt w:val="bullet"/>
      <w:lvlText w:val=""/>
      <w:lvlJc w:val="left"/>
      <w:pPr>
        <w:tabs>
          <w:tab w:val="num" w:pos="5040"/>
        </w:tabs>
        <w:ind w:left="5040" w:hanging="360"/>
      </w:pPr>
      <w:rPr>
        <w:rFonts w:ascii="Symbol" w:hAnsi="Symbol" w:hint="default"/>
      </w:rPr>
    </w:lvl>
    <w:lvl w:ilvl="7" w:tplc="040B0003" w:tentative="1">
      <w:start w:val="1"/>
      <w:numFmt w:val="bullet"/>
      <w:lvlText w:val="o"/>
      <w:lvlJc w:val="left"/>
      <w:pPr>
        <w:tabs>
          <w:tab w:val="num" w:pos="5760"/>
        </w:tabs>
        <w:ind w:left="5760" w:hanging="360"/>
      </w:pPr>
      <w:rPr>
        <w:rFonts w:ascii="Courier New" w:hAnsi="Courier New" w:cs="Courier New" w:hint="default"/>
      </w:rPr>
    </w:lvl>
    <w:lvl w:ilvl="8" w:tplc="040B0005" w:tentative="1">
      <w:start w:val="1"/>
      <w:numFmt w:val="bullet"/>
      <w:lvlText w:val=""/>
      <w:lvlJc w:val="left"/>
      <w:pPr>
        <w:tabs>
          <w:tab w:val="num" w:pos="6480"/>
        </w:tabs>
        <w:ind w:left="6480" w:hanging="360"/>
      </w:pPr>
      <w:rPr>
        <w:rFonts w:ascii="Wingdings" w:hAnsi="Wingdings" w:hint="default"/>
      </w:rPr>
    </w:lvl>
  </w:abstractNum>
  <w:abstractNum w:abstractNumId="11">
    <w:nsid w:val="7A1423BC"/>
    <w:multiLevelType w:val="hybridMultilevel"/>
    <w:tmpl w:val="2C00439A"/>
    <w:lvl w:ilvl="0" w:tplc="040B000B">
      <w:start w:val="1"/>
      <w:numFmt w:val="bullet"/>
      <w:lvlText w:val=""/>
      <w:lvlJc w:val="left"/>
      <w:pPr>
        <w:ind w:left="720" w:hanging="360"/>
      </w:pPr>
      <w:rPr>
        <w:rFonts w:ascii="Wingdings" w:hAnsi="Wingdings"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0"/>
  </w:num>
  <w:num w:numId="4">
    <w:abstractNumId w:val="8"/>
  </w:num>
  <w:num w:numId="5">
    <w:abstractNumId w:val="10"/>
  </w:num>
  <w:num w:numId="6">
    <w:abstractNumId w:val="1"/>
  </w:num>
  <w:num w:numId="7">
    <w:abstractNumId w:val="7"/>
  </w:num>
  <w:num w:numId="8">
    <w:abstractNumId w:val="9"/>
  </w:num>
  <w:num w:numId="9">
    <w:abstractNumId w:val="3"/>
  </w:num>
  <w:num w:numId="10">
    <w:abstractNumId w:val="11"/>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77E7"/>
    <w:rsid w:val="000F5730"/>
    <w:rsid w:val="006E77E7"/>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E77E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rsid w:val="006E77E7"/>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854</Words>
  <Characters>6922</Characters>
  <Application>Microsoft Office Word</Application>
  <DocSecurity>0</DocSecurity>
  <Lines>57</Lines>
  <Paragraphs>15</Paragraphs>
  <ScaleCrop>false</ScaleCrop>
  <HeadingPairs>
    <vt:vector size="2" baseType="variant">
      <vt:variant>
        <vt:lpstr>Otsikko</vt:lpstr>
      </vt:variant>
      <vt:variant>
        <vt:i4>1</vt:i4>
      </vt:variant>
    </vt:vector>
  </HeadingPairs>
  <TitlesOfParts>
    <vt:vector size="1" baseType="lpstr">
      <vt:lpstr/>
    </vt:vector>
  </TitlesOfParts>
  <Company/>
  <LinksUpToDate>false</LinksUpToDate>
  <CharactersWithSpaces>7761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Annikki</dc:creator>
  <cp:lastModifiedBy>Annikki</cp:lastModifiedBy>
  <cp:revision>1</cp:revision>
  <dcterms:created xsi:type="dcterms:W3CDTF">2017-04-24T17:18:00Z</dcterms:created>
  <dcterms:modified xsi:type="dcterms:W3CDTF">2017-04-24T17:19:00Z</dcterms:modified>
</cp:coreProperties>
</file>